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6" w:rsidRDefault="006F1176" w:rsidP="006F1176">
      <w:pPr>
        <w:jc w:val="center"/>
        <w:rPr>
          <w:b/>
          <w:sz w:val="32"/>
          <w:szCs w:val="32"/>
        </w:rPr>
      </w:pPr>
      <w:r>
        <w:rPr>
          <w:b/>
          <w:sz w:val="32"/>
          <w:szCs w:val="32"/>
        </w:rPr>
        <w:t>Администрация Веретейского сельского поселения</w:t>
      </w:r>
    </w:p>
    <w:p w:rsidR="006F1176" w:rsidRDefault="006F1176" w:rsidP="006F1176">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F1176" w:rsidRDefault="006F1176" w:rsidP="006F1176">
      <w:pPr>
        <w:jc w:val="center"/>
        <w:rPr>
          <w:b/>
          <w:sz w:val="32"/>
          <w:szCs w:val="32"/>
        </w:rPr>
      </w:pPr>
      <w:r>
        <w:rPr>
          <w:b/>
          <w:sz w:val="32"/>
          <w:szCs w:val="32"/>
        </w:rPr>
        <w:t xml:space="preserve">ПОСТАНОВЛЕНИЕ </w:t>
      </w:r>
    </w:p>
    <w:p w:rsidR="006F1176" w:rsidRDefault="006F1176" w:rsidP="006F1176">
      <w:pPr>
        <w:jc w:val="center"/>
        <w:rPr>
          <w:b/>
          <w:sz w:val="36"/>
          <w:szCs w:val="36"/>
        </w:rPr>
      </w:pPr>
    </w:p>
    <w:p w:rsidR="006F1176" w:rsidRDefault="006F1176" w:rsidP="006F1176">
      <w:r>
        <w:t xml:space="preserve">от </w:t>
      </w:r>
      <w:r w:rsidR="00674C61" w:rsidRPr="00FC1518">
        <w:t>3</w:t>
      </w:r>
      <w:r w:rsidR="00FC1518">
        <w:t>0</w:t>
      </w:r>
      <w:r w:rsidR="0028082B">
        <w:t>.</w:t>
      </w:r>
      <w:r w:rsidR="00152199">
        <w:t>12</w:t>
      </w:r>
      <w:r w:rsidR="0028082B">
        <w:t>.20</w:t>
      </w:r>
      <w:r w:rsidR="00FC1518">
        <w:t>2</w:t>
      </w:r>
      <w:r w:rsidR="0043172C">
        <w:t>0</w:t>
      </w:r>
      <w:r>
        <w:t xml:space="preserve">г.                                                                                            </w:t>
      </w:r>
      <w:r w:rsidR="0028082B">
        <w:t xml:space="preserve">                           № </w:t>
      </w:r>
      <w:r w:rsidR="0043172C">
        <w:t>204</w:t>
      </w:r>
    </w:p>
    <w:p w:rsidR="006F1176" w:rsidRDefault="006F1176" w:rsidP="006F1176"/>
    <w:p w:rsidR="006F1176" w:rsidRDefault="006F1176" w:rsidP="006F1176">
      <w:r>
        <w:t>О  порядке осуществления полномочий</w:t>
      </w:r>
    </w:p>
    <w:p w:rsidR="006F1176" w:rsidRDefault="006F1176" w:rsidP="006F1176">
      <w:pPr>
        <w:pStyle w:val="a3"/>
        <w:spacing w:before="0" w:beforeAutospacing="0" w:after="0" w:afterAutospacing="0"/>
        <w:contextualSpacing/>
        <w:rPr>
          <w:b/>
        </w:rPr>
      </w:pPr>
      <w:r>
        <w:t xml:space="preserve">администратора доходов бюджета                                                                                                     </w:t>
      </w:r>
    </w:p>
    <w:p w:rsidR="006F1176" w:rsidRDefault="006F1176" w:rsidP="006F1176">
      <w:r>
        <w:t>Администрацией Веретейского сельского поселения</w:t>
      </w:r>
    </w:p>
    <w:p w:rsidR="006F1176" w:rsidRDefault="006F1176" w:rsidP="006F1176"/>
    <w:p w:rsidR="006F1176" w:rsidRDefault="006F1176" w:rsidP="006F1176">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6F1176" w:rsidRDefault="006F1176" w:rsidP="006F1176">
      <w:r>
        <w:t>АДМИНИСТРАЦИЯ ПОСТАНОВЛЯЕТ:</w:t>
      </w:r>
    </w:p>
    <w:p w:rsidR="006F1176" w:rsidRDefault="006F1176" w:rsidP="006F1176"/>
    <w:p w:rsidR="006F1176" w:rsidRDefault="006F1176" w:rsidP="006F1176">
      <w:pPr>
        <w:jc w:val="both"/>
      </w:pPr>
      <w:r>
        <w:t xml:space="preserve">1. Утвердить Администрацию Веретейского сельского поселения администратором доходов бюджета Веретейского сельского поселения. </w:t>
      </w:r>
    </w:p>
    <w:p w:rsidR="006F1176" w:rsidRDefault="006F1176" w:rsidP="006F1176">
      <w:pPr>
        <w:jc w:val="both"/>
      </w:pPr>
    </w:p>
    <w:p w:rsidR="006F1176" w:rsidRDefault="006F1176" w:rsidP="006F1176">
      <w:pPr>
        <w:jc w:val="both"/>
      </w:pPr>
      <w:r>
        <w:t xml:space="preserve">2. Возложить на Администрацию Веретейского сельского поселения следующие полномочия </w:t>
      </w:r>
      <w:proofErr w:type="gramStart"/>
      <w:r>
        <w:t>администратора доходов бюджетов  бюджетной системы Российской Федерации</w:t>
      </w:r>
      <w:proofErr w:type="gramEnd"/>
      <w:r>
        <w:t>:</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начисление, учет и контроль за правильностью исчисления, полнотой и своевременностью осуществления платежей в бюджет, пеней и штрафов по ним;</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взыскание задолженности по платежам в бюджет, пеней и штрафов;</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                                                                                                                             </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принятие решения о зачете (уточнении) платежей в бюджеты бюджетной системы Российской Федерации и представление уведомления в орган Федерального казначейства (в том числе определение порядка и сроков принятия таких решений и представления уведомлений в орган Федерального казначейства);</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установленные БК РФ и принимаемые в соответствии с нормативно правовыми актами, регулирующими бюджетные правоотношения, в том числе:</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по уточнению невыясненных поступлений;</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6F1176" w:rsidRDefault="006F1176" w:rsidP="006F1176">
      <w:pPr>
        <w:pStyle w:val="ConsPlusNormal0"/>
        <w:widowControl/>
        <w:ind w:firstLine="0"/>
        <w:jc w:val="both"/>
        <w:rPr>
          <w:rFonts w:ascii="Times New Roman" w:hAnsi="Times New Roman" w:cs="Times New Roman"/>
          <w:sz w:val="24"/>
          <w:szCs w:val="24"/>
        </w:rPr>
      </w:pPr>
    </w:p>
    <w:p w:rsidR="006F1176" w:rsidRDefault="006F1176" w:rsidP="006F1176">
      <w:pPr>
        <w:jc w:val="both"/>
      </w:pPr>
      <w:r>
        <w:t xml:space="preserve">3. Закрепить за Администрацией Веретейского сельского поселения  перечень доходов бюджетов бюджетной системы Российской Федерации (Приложение № 1). </w:t>
      </w:r>
    </w:p>
    <w:p w:rsidR="006F1176" w:rsidRDefault="006F1176" w:rsidP="006F1176">
      <w:pPr>
        <w:jc w:val="both"/>
      </w:pPr>
      <w:r>
        <w:t xml:space="preserve"> </w:t>
      </w:r>
    </w:p>
    <w:p w:rsidR="006F1176" w:rsidRDefault="006F1176" w:rsidP="006F1176">
      <w:pPr>
        <w:jc w:val="both"/>
      </w:pPr>
      <w:r>
        <w:t xml:space="preserve">4. Настоящее Постановление вступает в силу с </w:t>
      </w:r>
      <w:r w:rsidR="0028082B">
        <w:t xml:space="preserve"> момента подписания и распространяется на правоотношения, возникшие с 01.01.20</w:t>
      </w:r>
      <w:r w:rsidR="00674C61" w:rsidRPr="00674C61">
        <w:t>2</w:t>
      </w:r>
      <w:r w:rsidR="0043172C">
        <w:t>1</w:t>
      </w:r>
      <w:r w:rsidR="0028082B">
        <w:t xml:space="preserve"> года.</w:t>
      </w:r>
    </w:p>
    <w:p w:rsidR="006F1176" w:rsidRDefault="006F1176" w:rsidP="006F1176">
      <w:pPr>
        <w:jc w:val="both"/>
      </w:pPr>
    </w:p>
    <w:p w:rsidR="006F1176" w:rsidRDefault="006F1176" w:rsidP="006F1176">
      <w:pPr>
        <w:jc w:val="both"/>
      </w:pPr>
      <w:r>
        <w:lastRenderedPageBreak/>
        <w:t>5. Контроль за исполнением настоящего Постановления Глава поселения оставляет за собой.</w:t>
      </w:r>
    </w:p>
    <w:p w:rsidR="006F1176" w:rsidRDefault="006F1176" w:rsidP="006F1176">
      <w:pPr>
        <w:jc w:val="both"/>
      </w:pPr>
    </w:p>
    <w:p w:rsidR="006F1176" w:rsidRDefault="006F1176" w:rsidP="006F1176">
      <w:pPr>
        <w:spacing w:line="360" w:lineRule="auto"/>
        <w:jc w:val="both"/>
      </w:pPr>
      <w:r>
        <w:t>Глава</w:t>
      </w:r>
    </w:p>
    <w:p w:rsidR="006F1176" w:rsidRDefault="006F1176" w:rsidP="006F1176">
      <w:pPr>
        <w:spacing w:line="360" w:lineRule="auto"/>
        <w:jc w:val="both"/>
      </w:pPr>
      <w:r>
        <w:t xml:space="preserve">Веретейского сельского поселения                                                                   </w:t>
      </w:r>
      <w:r w:rsidR="0028082B">
        <w:t xml:space="preserve">   </w:t>
      </w:r>
      <w:r>
        <w:t xml:space="preserve">    Т. Б. </w:t>
      </w:r>
      <w:proofErr w:type="spellStart"/>
      <w:r>
        <w:t>Гавриш</w:t>
      </w:r>
      <w:proofErr w:type="spellEnd"/>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560A38" w:rsidRDefault="00560A38" w:rsidP="00560A38">
      <w:pPr>
        <w:jc w:val="right"/>
      </w:pPr>
      <w:r>
        <w:lastRenderedPageBreak/>
        <w:t>Приложение №1</w:t>
      </w:r>
    </w:p>
    <w:p w:rsidR="00560A38" w:rsidRDefault="00560A38" w:rsidP="00560A38">
      <w:pPr>
        <w:jc w:val="right"/>
      </w:pPr>
      <w:r>
        <w:t xml:space="preserve">к Постановлению от </w:t>
      </w:r>
      <w:r w:rsidRPr="00FC1518">
        <w:t>3</w:t>
      </w:r>
      <w:r>
        <w:t xml:space="preserve">0.12.2020г. № </w:t>
      </w:r>
      <w:r w:rsidR="00013DB6">
        <w:t>204</w:t>
      </w:r>
      <w:r>
        <w:t xml:space="preserve">  </w:t>
      </w:r>
    </w:p>
    <w:p w:rsidR="00560A38" w:rsidRDefault="00560A38" w:rsidP="00560A38">
      <w:pPr>
        <w:jc w:val="right"/>
      </w:pPr>
      <w:r>
        <w:t xml:space="preserve"> </w:t>
      </w:r>
    </w:p>
    <w:p w:rsidR="00560A38" w:rsidRPr="00753CF2" w:rsidRDefault="00560A38" w:rsidP="00560A38">
      <w:pPr>
        <w:jc w:val="center"/>
        <w:rPr>
          <w:rFonts w:eastAsia="Times New Roman"/>
          <w:b/>
        </w:rPr>
      </w:pPr>
      <w:r w:rsidRPr="00753CF2">
        <w:rPr>
          <w:rFonts w:eastAsia="Times New Roman"/>
          <w:b/>
        </w:rPr>
        <w:t>Администратор (</w:t>
      </w:r>
      <w:proofErr w:type="spellStart"/>
      <w:r w:rsidRPr="00753CF2">
        <w:rPr>
          <w:rFonts w:eastAsia="Times New Roman"/>
          <w:b/>
        </w:rPr>
        <w:t>ы</w:t>
      </w:r>
      <w:proofErr w:type="spellEnd"/>
      <w:r w:rsidRPr="00753CF2">
        <w:rPr>
          <w:rFonts w:eastAsia="Times New Roman"/>
          <w:b/>
        </w:rPr>
        <w:t>) поступлений</w:t>
      </w:r>
    </w:p>
    <w:p w:rsidR="00560A38" w:rsidRDefault="00560A38" w:rsidP="00560A38">
      <w:pPr>
        <w:jc w:val="center"/>
        <w:rPr>
          <w:rFonts w:eastAsia="Times New Roman"/>
          <w:b/>
        </w:rPr>
      </w:pPr>
      <w:r w:rsidRPr="00753CF2">
        <w:rPr>
          <w:rFonts w:eastAsia="Times New Roman"/>
          <w:b/>
        </w:rPr>
        <w:t>в бюджет Веретейского сельского поселения на 20</w:t>
      </w:r>
      <w:r w:rsidRPr="00674C61">
        <w:rPr>
          <w:rFonts w:eastAsia="Times New Roman"/>
          <w:b/>
        </w:rPr>
        <w:t>2</w:t>
      </w:r>
      <w:r>
        <w:rPr>
          <w:rFonts w:eastAsia="Times New Roman"/>
          <w:b/>
        </w:rPr>
        <w:t>1</w:t>
      </w:r>
      <w:r w:rsidRPr="00753CF2">
        <w:rPr>
          <w:rFonts w:eastAsia="Times New Roman"/>
          <w:b/>
        </w:rPr>
        <w:t xml:space="preserve"> год</w:t>
      </w:r>
    </w:p>
    <w:p w:rsidR="00560A38" w:rsidRPr="00FC1518" w:rsidRDefault="00560A38" w:rsidP="00560A38">
      <w:pPr>
        <w:jc w:val="center"/>
        <w:rPr>
          <w:rFonts w:eastAsia="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688"/>
        <w:gridCol w:w="6095"/>
      </w:tblGrid>
      <w:tr w:rsidR="00560A38" w:rsidRPr="00991DEE" w:rsidTr="00A83926">
        <w:trPr>
          <w:trHeight w:val="883"/>
        </w:trPr>
        <w:tc>
          <w:tcPr>
            <w:tcW w:w="0" w:type="auto"/>
            <w:shd w:val="clear" w:color="auto" w:fill="auto"/>
          </w:tcPr>
          <w:p w:rsidR="00560A38" w:rsidRPr="00991DEE" w:rsidRDefault="00560A38" w:rsidP="00A83926">
            <w:pPr>
              <w:rPr>
                <w:rFonts w:eastAsia="Times New Roman"/>
              </w:rPr>
            </w:pPr>
            <w:bookmarkStart w:id="0" w:name="_Hlk533680135"/>
            <w:r w:rsidRPr="00991DEE">
              <w:rPr>
                <w:rFonts w:eastAsia="Times New Roman"/>
              </w:rPr>
              <w:t>Код</w:t>
            </w:r>
          </w:p>
          <w:p w:rsidR="00560A38" w:rsidRPr="00991DEE" w:rsidRDefault="00560A38" w:rsidP="00A83926">
            <w:pPr>
              <w:rPr>
                <w:rFonts w:eastAsia="Times New Roman"/>
              </w:rPr>
            </w:pPr>
            <w:proofErr w:type="spellStart"/>
            <w:proofErr w:type="gramStart"/>
            <w:r w:rsidRPr="00991DEE">
              <w:rPr>
                <w:rFonts w:eastAsia="Times New Roman"/>
              </w:rPr>
              <w:t>админи-стратора</w:t>
            </w:r>
            <w:proofErr w:type="spellEnd"/>
            <w:proofErr w:type="gramEnd"/>
          </w:p>
        </w:tc>
        <w:tc>
          <w:tcPr>
            <w:tcW w:w="2688" w:type="dxa"/>
            <w:shd w:val="clear" w:color="auto" w:fill="auto"/>
          </w:tcPr>
          <w:p w:rsidR="00560A38" w:rsidRPr="00991DEE" w:rsidRDefault="00560A38" w:rsidP="00A83926">
            <w:pPr>
              <w:rPr>
                <w:rFonts w:eastAsia="Times New Roman"/>
              </w:rPr>
            </w:pPr>
            <w:r w:rsidRPr="00991DEE">
              <w:rPr>
                <w:rFonts w:eastAsia="Times New Roman"/>
              </w:rPr>
              <w:t>Код бюджетной классификации</w:t>
            </w:r>
          </w:p>
        </w:tc>
        <w:tc>
          <w:tcPr>
            <w:tcW w:w="6095" w:type="dxa"/>
            <w:shd w:val="clear" w:color="auto" w:fill="auto"/>
          </w:tcPr>
          <w:p w:rsidR="00560A38" w:rsidRPr="00991DEE" w:rsidRDefault="00560A38" w:rsidP="00A83926">
            <w:pPr>
              <w:rPr>
                <w:rFonts w:eastAsia="Times New Roman"/>
              </w:rPr>
            </w:pPr>
            <w:r w:rsidRPr="00991DEE">
              <w:rPr>
                <w:rFonts w:eastAsia="Times New Roman"/>
              </w:rPr>
              <w:t>Наименование доходов</w:t>
            </w:r>
          </w:p>
        </w:tc>
      </w:tr>
      <w:tr w:rsidR="00560A38" w:rsidRPr="00991DEE" w:rsidTr="00A83926">
        <w:trPr>
          <w:trHeight w:val="1693"/>
        </w:trPr>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1 08 04020 01 1000 110</w:t>
            </w:r>
          </w:p>
        </w:tc>
        <w:tc>
          <w:tcPr>
            <w:tcW w:w="6095" w:type="dxa"/>
            <w:shd w:val="clear" w:color="auto" w:fill="auto"/>
          </w:tcPr>
          <w:p w:rsidR="00560A38" w:rsidRPr="00991DEE" w:rsidRDefault="00560A38" w:rsidP="00A83926">
            <w:pPr>
              <w:jc w:val="both"/>
              <w:rPr>
                <w:rFonts w:eastAsia="Times New Roman"/>
              </w:rPr>
            </w:pPr>
            <w:proofErr w:type="gramStart"/>
            <w:r w:rsidRPr="00991DEE">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(перерасчёты, недоимка и задолженность по соответствующему платежу, в том числе по отмененному)</w:t>
            </w:r>
            <w:proofErr w:type="gramEnd"/>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1 08 04020 01 4000 110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 xml:space="preserve">615 </w:t>
            </w:r>
          </w:p>
        </w:tc>
        <w:tc>
          <w:tcPr>
            <w:tcW w:w="2688" w:type="dxa"/>
            <w:shd w:val="clear" w:color="auto" w:fill="auto"/>
          </w:tcPr>
          <w:p w:rsidR="00560A38" w:rsidRPr="00991DEE" w:rsidRDefault="00560A38" w:rsidP="00A83926">
            <w:pPr>
              <w:rPr>
                <w:rFonts w:eastAsia="Times New Roman"/>
              </w:rPr>
            </w:pPr>
            <w:r w:rsidRPr="00991DEE">
              <w:rPr>
                <w:rFonts w:eastAsia="Times New Roman"/>
              </w:rPr>
              <w:t>1 11 05025 10 0000 120</w:t>
            </w:r>
          </w:p>
        </w:tc>
        <w:tc>
          <w:tcPr>
            <w:tcW w:w="6095" w:type="dxa"/>
            <w:shd w:val="clear" w:color="auto" w:fill="auto"/>
          </w:tcPr>
          <w:p w:rsidR="00560A38" w:rsidRPr="00991DEE" w:rsidRDefault="00560A38" w:rsidP="00A83926">
            <w:pPr>
              <w:jc w:val="both"/>
              <w:rPr>
                <w:rFonts w:eastAsia="Times New Roman"/>
              </w:rPr>
            </w:pPr>
            <w:proofErr w:type="gramStart"/>
            <w:r w:rsidRPr="00991DEE">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1 11 05035 10 0000 120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560A38" w:rsidRPr="00991DEE" w:rsidTr="00A83926">
        <w:trPr>
          <w:trHeight w:val="561"/>
        </w:trPr>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1 11 05075 10 0000 120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Доходы от сдачи в аренду имущества, составляющего казну сельских поселений (за исключением земельных участков)</w:t>
            </w:r>
          </w:p>
        </w:tc>
      </w:tr>
      <w:tr w:rsidR="00560A38" w:rsidRPr="00991DEE" w:rsidTr="00A83926">
        <w:trPr>
          <w:trHeight w:val="561"/>
        </w:trPr>
        <w:tc>
          <w:tcPr>
            <w:tcW w:w="0" w:type="auto"/>
            <w:shd w:val="clear" w:color="auto" w:fill="auto"/>
          </w:tcPr>
          <w:p w:rsidR="00560A38" w:rsidRPr="00991DEE" w:rsidRDefault="00560A38" w:rsidP="00A83926">
            <w:pPr>
              <w:rPr>
                <w:rFonts w:eastAsia="Times New Roman"/>
              </w:rPr>
            </w:pPr>
            <w:r w:rsidRPr="00991DEE">
              <w:rPr>
                <w:rFonts w:eastAsia="Times New Roman"/>
              </w:rPr>
              <w:t xml:space="preserve">615 </w:t>
            </w:r>
          </w:p>
        </w:tc>
        <w:tc>
          <w:tcPr>
            <w:tcW w:w="2688" w:type="dxa"/>
            <w:shd w:val="clear" w:color="auto" w:fill="auto"/>
          </w:tcPr>
          <w:p w:rsidR="00560A38" w:rsidRPr="00991DEE" w:rsidRDefault="00560A38" w:rsidP="00A83926">
            <w:pPr>
              <w:rPr>
                <w:rFonts w:eastAsia="Times New Roman"/>
              </w:rPr>
            </w:pPr>
            <w:r w:rsidRPr="00991DEE">
              <w:rPr>
                <w:rFonts w:eastAsia="Times New Roman"/>
              </w:rPr>
              <w:t>1 11 07015 10 0000 120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560A38" w:rsidRPr="00991DEE" w:rsidTr="00A83926">
        <w:trPr>
          <w:trHeight w:val="445"/>
        </w:trPr>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1 13 01995 10 0000 130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Прочие доходы от оказания платных услуг (работ) получателями средств бюджетов сельских поселений</w:t>
            </w:r>
          </w:p>
        </w:tc>
      </w:tr>
      <w:tr w:rsidR="00560A38" w:rsidRPr="00991DEE" w:rsidTr="00A83926">
        <w:trPr>
          <w:trHeight w:val="595"/>
        </w:trPr>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1 13 02995 10 0000 130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Прочие доходы от компенсации затрат бюджетов сельских поселений</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1 14 02053 10 0000 410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1 17 01050 10 0000 180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 xml:space="preserve">Невыясненные поступления, зачисляемые в бюджеты сельских поселений </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lastRenderedPageBreak/>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1 17 05050 10 0000 180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 xml:space="preserve">Прочие неналоговые доходы бюджетов сельских поселений </w:t>
            </w:r>
          </w:p>
        </w:tc>
      </w:tr>
      <w:tr w:rsidR="00560A38" w:rsidRPr="00991DEE" w:rsidTr="00A83926">
        <w:trPr>
          <w:trHeight w:val="571"/>
        </w:trPr>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2 02 15001 10 0000 150</w:t>
            </w:r>
          </w:p>
        </w:tc>
        <w:tc>
          <w:tcPr>
            <w:tcW w:w="6095" w:type="dxa"/>
            <w:shd w:val="clear" w:color="auto" w:fill="auto"/>
            <w:vAlign w:val="center"/>
          </w:tcPr>
          <w:p w:rsidR="00560A38" w:rsidRPr="00991DEE" w:rsidRDefault="00560A38" w:rsidP="00A83926">
            <w:pPr>
              <w:jc w:val="both"/>
              <w:rPr>
                <w:rFonts w:eastAsia="Times New Roman"/>
                <w:iCs/>
              </w:rPr>
            </w:pPr>
            <w:r w:rsidRPr="00991DEE">
              <w:rPr>
                <w:rFonts w:eastAsia="Times New Roman"/>
                <w:iCs/>
              </w:rPr>
              <w:t>Дотации бюджетам сельских поселений на выравнивание бюджетной обеспеченности</w:t>
            </w:r>
          </w:p>
        </w:tc>
      </w:tr>
      <w:tr w:rsidR="00560A38" w:rsidRPr="00991DEE" w:rsidTr="00A83926">
        <w:tc>
          <w:tcPr>
            <w:tcW w:w="0" w:type="auto"/>
            <w:shd w:val="clear" w:color="auto" w:fill="auto"/>
          </w:tcPr>
          <w:p w:rsidR="00560A38" w:rsidRPr="00991DEE" w:rsidRDefault="00560A38" w:rsidP="00A83926">
            <w:pPr>
              <w:rPr>
                <w:rFonts w:eastAsia="Times New Roman"/>
              </w:rPr>
            </w:pPr>
          </w:p>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p>
          <w:p w:rsidR="00560A38" w:rsidRPr="00991DEE" w:rsidRDefault="00560A38" w:rsidP="00A83926">
            <w:pPr>
              <w:rPr>
                <w:rFonts w:eastAsia="Times New Roman"/>
              </w:rPr>
            </w:pPr>
            <w:r w:rsidRPr="00991DEE">
              <w:rPr>
                <w:rFonts w:eastAsia="Times New Roman"/>
              </w:rPr>
              <w:t>2 02 19999 10 1004 150</w:t>
            </w:r>
          </w:p>
        </w:tc>
        <w:tc>
          <w:tcPr>
            <w:tcW w:w="6095" w:type="dxa"/>
            <w:shd w:val="clear" w:color="auto" w:fill="auto"/>
            <w:vAlign w:val="center"/>
          </w:tcPr>
          <w:p w:rsidR="00560A38" w:rsidRPr="00991DEE" w:rsidRDefault="00560A38" w:rsidP="00A83926">
            <w:pPr>
              <w:jc w:val="both"/>
              <w:rPr>
                <w:rFonts w:eastAsia="Times New Roman"/>
              </w:rPr>
            </w:pPr>
            <w:proofErr w:type="gramStart"/>
            <w:r w:rsidRPr="00991DEE">
              <w:rPr>
                <w:rFonts w:eastAsia="Times New Roman"/>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roofErr w:type="gramEnd"/>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2 02 15002 10 0000 150</w:t>
            </w:r>
          </w:p>
        </w:tc>
        <w:tc>
          <w:tcPr>
            <w:tcW w:w="6095" w:type="dxa"/>
            <w:shd w:val="clear" w:color="auto" w:fill="auto"/>
            <w:vAlign w:val="center"/>
          </w:tcPr>
          <w:p w:rsidR="00560A38" w:rsidRPr="00991DEE" w:rsidRDefault="00560A38" w:rsidP="00A83926">
            <w:pPr>
              <w:jc w:val="both"/>
              <w:rPr>
                <w:rFonts w:eastAsia="Times New Roman"/>
              </w:rPr>
            </w:pPr>
            <w:r w:rsidRPr="00991DEE">
              <w:rPr>
                <w:rFonts w:eastAsia="Times New Roman"/>
              </w:rPr>
              <w:t>Дотации бюджетам сельских поселений на поддержку мер по обеспечению сбалансированности бюджетов</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2 02 20041 10 0000 150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2 02 20051 10 0000 150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Субсидии бюджетам сельских поселений на реализацию федеральных целевых программ</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2 02 25497 10 0000 150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Субсидия бюджета сельских поселений на реализацию мероприятий по обеспечению жильем молодых семей</w:t>
            </w:r>
          </w:p>
        </w:tc>
      </w:tr>
      <w:tr w:rsidR="00560A38" w:rsidRPr="00991DEE" w:rsidTr="00A83926">
        <w:tc>
          <w:tcPr>
            <w:tcW w:w="0" w:type="auto"/>
            <w:shd w:val="clear" w:color="auto" w:fill="auto"/>
          </w:tcPr>
          <w:p w:rsidR="00560A38" w:rsidRPr="00991DEE" w:rsidRDefault="00560A38" w:rsidP="00A83926">
            <w:pPr>
              <w:rPr>
                <w:rFonts w:eastAsia="Times New Roman"/>
              </w:rPr>
            </w:pPr>
          </w:p>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p>
          <w:p w:rsidR="00560A38" w:rsidRPr="00991DEE" w:rsidRDefault="00560A38" w:rsidP="00A83926">
            <w:pPr>
              <w:rPr>
                <w:rFonts w:eastAsia="Times New Roman"/>
              </w:rPr>
            </w:pPr>
            <w:r w:rsidRPr="00991DEE">
              <w:rPr>
                <w:rFonts w:eastAsia="Times New Roman"/>
              </w:rPr>
              <w:t>2 02 25555 10 0000 150</w:t>
            </w:r>
          </w:p>
        </w:tc>
        <w:tc>
          <w:tcPr>
            <w:tcW w:w="6095" w:type="dxa"/>
            <w:shd w:val="clear" w:color="auto" w:fill="auto"/>
            <w:vAlign w:val="center"/>
          </w:tcPr>
          <w:p w:rsidR="00560A38" w:rsidRPr="00991DEE" w:rsidRDefault="00560A38" w:rsidP="00A83926">
            <w:pPr>
              <w:jc w:val="both"/>
              <w:rPr>
                <w:rFonts w:eastAsia="Times New Roman"/>
              </w:rPr>
            </w:pPr>
            <w:r w:rsidRPr="00991DEE">
              <w:rPr>
                <w:rFonts w:eastAsia="Times New Roman"/>
                <w:iCs/>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 xml:space="preserve">615 </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2 02 20299 10 0000 150</w:t>
            </w:r>
          </w:p>
        </w:tc>
        <w:tc>
          <w:tcPr>
            <w:tcW w:w="6095" w:type="dxa"/>
            <w:shd w:val="clear" w:color="auto" w:fill="auto"/>
          </w:tcPr>
          <w:p w:rsidR="00560A38" w:rsidRPr="00991DEE" w:rsidRDefault="00560A38" w:rsidP="00A83926">
            <w:pPr>
              <w:jc w:val="both"/>
              <w:rPr>
                <w:rFonts w:eastAsia="Times New Roman"/>
                <w:iCs/>
              </w:rPr>
            </w:pPr>
            <w:r w:rsidRPr="00991DEE">
              <w:rPr>
                <w:rFonts w:eastAsia="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 xml:space="preserve">615 </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2 02 20302 10 0000 150</w:t>
            </w:r>
          </w:p>
        </w:tc>
        <w:tc>
          <w:tcPr>
            <w:tcW w:w="6095" w:type="dxa"/>
            <w:shd w:val="clear" w:color="auto" w:fill="auto"/>
          </w:tcPr>
          <w:p w:rsidR="00560A38" w:rsidRPr="00991DEE" w:rsidRDefault="00560A38" w:rsidP="00A83926">
            <w:pPr>
              <w:jc w:val="both"/>
              <w:rPr>
                <w:rFonts w:eastAsia="Times New Roman"/>
                <w:iCs/>
              </w:rPr>
            </w:pPr>
            <w:r w:rsidRPr="00991DEE">
              <w:rPr>
                <w:rFonts w:eastAsia="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2 02 29999 10 0000 150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Прочие субсидии бюджетам сельских поселений</w:t>
            </w:r>
          </w:p>
        </w:tc>
      </w:tr>
      <w:tr w:rsidR="00560A38" w:rsidRPr="00991DEE" w:rsidTr="00A83926">
        <w:tc>
          <w:tcPr>
            <w:tcW w:w="0" w:type="auto"/>
            <w:shd w:val="clear" w:color="auto" w:fill="auto"/>
          </w:tcPr>
          <w:p w:rsidR="00560A38" w:rsidRPr="00991DEE" w:rsidRDefault="00560A38" w:rsidP="00A83926">
            <w:pPr>
              <w:rPr>
                <w:rFonts w:eastAsia="Times New Roman"/>
              </w:rPr>
            </w:pPr>
            <w:r>
              <w:rPr>
                <w:rFonts w:eastAsia="Times New Roman"/>
              </w:rPr>
              <w:t>615</w:t>
            </w:r>
          </w:p>
        </w:tc>
        <w:tc>
          <w:tcPr>
            <w:tcW w:w="2688" w:type="dxa"/>
            <w:shd w:val="clear" w:color="auto" w:fill="auto"/>
          </w:tcPr>
          <w:p w:rsidR="00560A38" w:rsidRPr="00991DEE" w:rsidRDefault="00560A38" w:rsidP="00A83926">
            <w:pPr>
              <w:rPr>
                <w:rFonts w:eastAsia="Times New Roman"/>
              </w:rPr>
            </w:pPr>
            <w:r w:rsidRPr="0051513B">
              <w:rPr>
                <w:rFonts w:eastAsia="Times New Roman"/>
              </w:rPr>
              <w:t xml:space="preserve">2 02 29999 10 </w:t>
            </w:r>
            <w:r>
              <w:rPr>
                <w:rFonts w:eastAsia="Times New Roman"/>
              </w:rPr>
              <w:t>2004</w:t>
            </w:r>
            <w:r w:rsidRPr="0051513B">
              <w:rPr>
                <w:rFonts w:eastAsia="Times New Roman"/>
              </w:rPr>
              <w:t xml:space="preserve"> 150</w:t>
            </w:r>
          </w:p>
        </w:tc>
        <w:tc>
          <w:tcPr>
            <w:tcW w:w="6095" w:type="dxa"/>
            <w:shd w:val="clear" w:color="auto" w:fill="auto"/>
          </w:tcPr>
          <w:p w:rsidR="00560A38" w:rsidRPr="00991DEE" w:rsidRDefault="00560A38" w:rsidP="00A83926">
            <w:pPr>
              <w:jc w:val="both"/>
              <w:rPr>
                <w:rFonts w:eastAsia="Times New Roman"/>
              </w:rPr>
            </w:pPr>
            <w:r w:rsidRPr="0051513B">
              <w:rPr>
                <w:rFonts w:eastAsia="Times New Roman"/>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2 02 29999 10 2032 150</w:t>
            </w:r>
          </w:p>
        </w:tc>
        <w:tc>
          <w:tcPr>
            <w:tcW w:w="6095" w:type="dxa"/>
            <w:shd w:val="clear" w:color="auto" w:fill="auto"/>
          </w:tcPr>
          <w:p w:rsidR="00560A38" w:rsidRPr="00991DEE" w:rsidRDefault="00560A38" w:rsidP="00A83926">
            <w:pPr>
              <w:jc w:val="both"/>
              <w:rPr>
                <w:rFonts w:eastAsia="Times New Roman"/>
              </w:rPr>
            </w:pPr>
            <w:proofErr w:type="gramStart"/>
            <w:r w:rsidRPr="00991DEE">
              <w:rPr>
                <w:rFonts w:eastAsia="Times New Roman"/>
              </w:rPr>
              <w:t xml:space="preserve">Прочие субсидии бюджетам сельских поселений (Субсидия на реализацию мероприятий инициативного </w:t>
            </w:r>
            <w:proofErr w:type="spellStart"/>
            <w:r w:rsidRPr="00991DEE">
              <w:rPr>
                <w:rFonts w:eastAsia="Times New Roman"/>
              </w:rPr>
              <w:t>бюджетирования</w:t>
            </w:r>
            <w:proofErr w:type="spellEnd"/>
            <w:r w:rsidRPr="00991DEE">
              <w:rPr>
                <w:rFonts w:eastAsia="Times New Roman"/>
              </w:rPr>
              <w:t xml:space="preserve"> на территории Ярославской области «Поддержка местных инициатив»</w:t>
            </w:r>
            <w:proofErr w:type="gramEnd"/>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2 02 35118 10 0000 150</w:t>
            </w:r>
          </w:p>
        </w:tc>
        <w:tc>
          <w:tcPr>
            <w:tcW w:w="6095" w:type="dxa"/>
            <w:shd w:val="clear" w:color="auto" w:fill="auto"/>
          </w:tcPr>
          <w:p w:rsidR="00560A38" w:rsidRPr="00991DEE" w:rsidRDefault="00560A38" w:rsidP="00A83926">
            <w:pPr>
              <w:jc w:val="both"/>
              <w:rPr>
                <w:rFonts w:eastAsia="Times New Roman"/>
                <w:iCs/>
              </w:rPr>
            </w:pPr>
            <w:r w:rsidRPr="00991DEE">
              <w:rPr>
                <w:rFonts w:eastAsia="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60A38" w:rsidRPr="00991DEE" w:rsidTr="00A83926">
        <w:tc>
          <w:tcPr>
            <w:tcW w:w="0" w:type="auto"/>
            <w:shd w:val="clear" w:color="auto" w:fill="auto"/>
          </w:tcPr>
          <w:p w:rsidR="00560A38" w:rsidRPr="00991DEE" w:rsidRDefault="00560A38" w:rsidP="00A83926">
            <w:pPr>
              <w:rPr>
                <w:rFonts w:eastAsia="Times New Roman"/>
              </w:rPr>
            </w:pPr>
            <w:r w:rsidRPr="00991DEE">
              <w:rPr>
                <w:rFonts w:eastAsia="Times New Roman"/>
              </w:rPr>
              <w:t>615</w:t>
            </w:r>
          </w:p>
        </w:tc>
        <w:tc>
          <w:tcPr>
            <w:tcW w:w="2688" w:type="dxa"/>
            <w:shd w:val="clear" w:color="auto" w:fill="auto"/>
          </w:tcPr>
          <w:p w:rsidR="00560A38" w:rsidRPr="00991DEE" w:rsidRDefault="00560A38" w:rsidP="00A83926">
            <w:pPr>
              <w:rPr>
                <w:rFonts w:eastAsia="Times New Roman"/>
              </w:rPr>
            </w:pPr>
            <w:r w:rsidRPr="00991DEE">
              <w:rPr>
                <w:rFonts w:eastAsia="Times New Roman"/>
              </w:rPr>
              <w:t>2 02 40014 10 0000 150</w:t>
            </w:r>
          </w:p>
        </w:tc>
        <w:tc>
          <w:tcPr>
            <w:tcW w:w="6095" w:type="dxa"/>
            <w:shd w:val="clear" w:color="auto" w:fill="auto"/>
          </w:tcPr>
          <w:p w:rsidR="00560A38" w:rsidRPr="00991DEE" w:rsidRDefault="00560A38" w:rsidP="00A83926">
            <w:pPr>
              <w:jc w:val="both"/>
              <w:rPr>
                <w:rFonts w:eastAsia="Times New Roman"/>
              </w:rPr>
            </w:pPr>
            <w:r w:rsidRPr="00991DEE">
              <w:rPr>
                <w:rFonts w:eastAsia="Times New Roman"/>
              </w:rPr>
              <w:t xml:space="preserve">Межбюджетные трансферты, передаваемые бюджетам сельских поселений из бюджетов муниципальных </w:t>
            </w:r>
            <w:r w:rsidRPr="00991DEE">
              <w:rPr>
                <w:rFonts w:eastAsia="Times New Roman"/>
              </w:rPr>
              <w:lastRenderedPageBreak/>
              <w:t>районов на осуществление части полномочий по решению вопросов местного значения в соответствии с заключенными соглашениями</w:t>
            </w:r>
          </w:p>
        </w:tc>
      </w:tr>
      <w:tr w:rsidR="00560A38" w:rsidRPr="00991DEE" w:rsidTr="00A83926">
        <w:trPr>
          <w:trHeight w:val="404"/>
        </w:trPr>
        <w:tc>
          <w:tcPr>
            <w:tcW w:w="0" w:type="auto"/>
            <w:shd w:val="clear" w:color="auto" w:fill="auto"/>
          </w:tcPr>
          <w:p w:rsidR="00560A38" w:rsidRPr="00991DEE" w:rsidRDefault="00560A38" w:rsidP="00A83926">
            <w:pPr>
              <w:rPr>
                <w:rFonts w:eastAsia="Times New Roman"/>
              </w:rPr>
            </w:pPr>
            <w:r w:rsidRPr="00991DEE">
              <w:rPr>
                <w:rFonts w:eastAsia="Times New Roman"/>
              </w:rPr>
              <w:lastRenderedPageBreak/>
              <w:t xml:space="preserve">615 </w:t>
            </w:r>
          </w:p>
        </w:tc>
        <w:tc>
          <w:tcPr>
            <w:tcW w:w="2688" w:type="dxa"/>
            <w:shd w:val="clear" w:color="auto" w:fill="auto"/>
          </w:tcPr>
          <w:p w:rsidR="00560A38" w:rsidRPr="00991DEE" w:rsidRDefault="00560A38" w:rsidP="00A83926">
            <w:pPr>
              <w:rPr>
                <w:rFonts w:eastAsia="Times New Roman"/>
              </w:rPr>
            </w:pPr>
            <w:r w:rsidRPr="00991DEE">
              <w:rPr>
                <w:rFonts w:eastAsia="Times New Roman"/>
              </w:rPr>
              <w:t>2 07 05030 10 0000 150</w:t>
            </w:r>
          </w:p>
        </w:tc>
        <w:tc>
          <w:tcPr>
            <w:tcW w:w="6095" w:type="dxa"/>
            <w:shd w:val="clear" w:color="auto" w:fill="auto"/>
          </w:tcPr>
          <w:p w:rsidR="00560A38" w:rsidRPr="00991DEE" w:rsidRDefault="00560A38" w:rsidP="00A83926">
            <w:pPr>
              <w:rPr>
                <w:rFonts w:eastAsia="Times New Roman"/>
              </w:rPr>
            </w:pPr>
            <w:r w:rsidRPr="00991DEE">
              <w:rPr>
                <w:rFonts w:eastAsia="Times New Roman"/>
              </w:rPr>
              <w:t>Прочие безвозмездные поступления в бюджеты сельских поселений</w:t>
            </w:r>
          </w:p>
        </w:tc>
      </w:tr>
      <w:bookmarkEnd w:id="0"/>
    </w:tbl>
    <w:p w:rsidR="00560A38" w:rsidRDefault="00560A38" w:rsidP="00560A38"/>
    <w:p w:rsidR="006F1176" w:rsidRDefault="006F1176" w:rsidP="00FC1518"/>
    <w:sectPr w:rsidR="006F1176"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6F1176"/>
    <w:rsid w:val="00013DB6"/>
    <w:rsid w:val="00080859"/>
    <w:rsid w:val="000A494B"/>
    <w:rsid w:val="000C197A"/>
    <w:rsid w:val="00151891"/>
    <w:rsid w:val="00152199"/>
    <w:rsid w:val="002239D3"/>
    <w:rsid w:val="002625CF"/>
    <w:rsid w:val="0028082B"/>
    <w:rsid w:val="0043172C"/>
    <w:rsid w:val="00530E22"/>
    <w:rsid w:val="00560A38"/>
    <w:rsid w:val="00640652"/>
    <w:rsid w:val="00674C61"/>
    <w:rsid w:val="006B600B"/>
    <w:rsid w:val="006F1176"/>
    <w:rsid w:val="007A57B0"/>
    <w:rsid w:val="00866959"/>
    <w:rsid w:val="009438F6"/>
    <w:rsid w:val="00991DEE"/>
    <w:rsid w:val="009942AA"/>
    <w:rsid w:val="009D57F9"/>
    <w:rsid w:val="00A534EE"/>
    <w:rsid w:val="00B34BE9"/>
    <w:rsid w:val="00BA064F"/>
    <w:rsid w:val="00BC2439"/>
    <w:rsid w:val="00D63D16"/>
    <w:rsid w:val="00F118E7"/>
    <w:rsid w:val="00FC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F1176"/>
    <w:rPr>
      <w:rFonts w:ascii="Arial" w:hAnsi="Arial" w:cs="Arial"/>
    </w:rPr>
  </w:style>
  <w:style w:type="paragraph" w:customStyle="1" w:styleId="ConsPlusNormal0">
    <w:name w:val="ConsPlusNormal"/>
    <w:link w:val="ConsPlusNormal"/>
    <w:qFormat/>
    <w:rsid w:val="006F1176"/>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6F117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497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2018-01-17T07:19:00Z</cp:lastPrinted>
  <dcterms:created xsi:type="dcterms:W3CDTF">2021-01-19T06:34:00Z</dcterms:created>
  <dcterms:modified xsi:type="dcterms:W3CDTF">2021-01-19T11:49:00Z</dcterms:modified>
</cp:coreProperties>
</file>