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8" w:rsidRDefault="00765B58" w:rsidP="00765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65B58" w:rsidRDefault="00765B58" w:rsidP="00765B58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65B58" w:rsidRDefault="00765B58" w:rsidP="00765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65B58" w:rsidRDefault="00765B58" w:rsidP="00765B58">
      <w:pPr>
        <w:rPr>
          <w:sz w:val="32"/>
          <w:szCs w:val="32"/>
        </w:rPr>
      </w:pPr>
    </w:p>
    <w:p w:rsidR="00765B58" w:rsidRPr="00526EFE" w:rsidRDefault="00765B58" w:rsidP="00765B58">
      <w:r>
        <w:t>от 02.10.2017г</w:t>
      </w:r>
      <w:r w:rsidRPr="00526EFE">
        <w:t xml:space="preserve">.                                                                                                                       № </w:t>
      </w:r>
      <w:r>
        <w:t>214</w:t>
      </w:r>
    </w:p>
    <w:p w:rsidR="00765B58" w:rsidRDefault="00765B58" w:rsidP="00765B58"/>
    <w:p w:rsidR="00765B58" w:rsidRDefault="00765B58" w:rsidP="00765B58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765B58" w:rsidRDefault="00765B58" w:rsidP="00765B58">
      <w:pPr>
        <w:rPr>
          <w:rFonts w:cs="Times New Roman CYR"/>
        </w:rPr>
      </w:pPr>
      <w:r>
        <w:t>программу «</w:t>
      </w:r>
      <w:r w:rsidRPr="00537E8A">
        <w:rPr>
          <w:rFonts w:cs="Times New Roman CYR"/>
        </w:rPr>
        <w:t xml:space="preserve">Развитие культуры и туризма </w:t>
      </w:r>
    </w:p>
    <w:p w:rsidR="00765B58" w:rsidRDefault="00765B58" w:rsidP="00765B58">
      <w:r w:rsidRPr="00537E8A">
        <w:rPr>
          <w:rFonts w:cs="Times New Roman CYR"/>
        </w:rPr>
        <w:t xml:space="preserve">в </w:t>
      </w:r>
      <w:proofErr w:type="spellStart"/>
      <w:r w:rsidRPr="00537E8A">
        <w:rPr>
          <w:rFonts w:cs="Times New Roman CYR"/>
        </w:rPr>
        <w:t>Веретейском</w:t>
      </w:r>
      <w:proofErr w:type="spellEnd"/>
      <w:r w:rsidRPr="00537E8A">
        <w:rPr>
          <w:rFonts w:cs="Times New Roman CYR"/>
        </w:rPr>
        <w:t xml:space="preserve"> сельском поселении</w:t>
      </w:r>
      <w:r>
        <w:t>»</w:t>
      </w:r>
    </w:p>
    <w:p w:rsidR="00765B58" w:rsidRDefault="00765B58" w:rsidP="00765B58">
      <w:r>
        <w:t xml:space="preserve">на 2015-2020 годы  </w:t>
      </w:r>
    </w:p>
    <w:p w:rsidR="00765B58" w:rsidRDefault="00765B58" w:rsidP="00765B58">
      <w:r>
        <w:t xml:space="preserve"> </w:t>
      </w:r>
    </w:p>
    <w:p w:rsidR="00765B58" w:rsidRDefault="00765B58" w:rsidP="00765B58">
      <w:pPr>
        <w:jc w:val="both"/>
      </w:pPr>
      <w:r>
        <w:t>В соответствии с Бюджетным кодексом Российской Федерации, Устава Веретейского сельского поселения</w:t>
      </w:r>
    </w:p>
    <w:p w:rsidR="00765B58" w:rsidRDefault="00765B58" w:rsidP="00765B58">
      <w:r>
        <w:t>АДМИНИСТРАЦИЯ  ПОСТАНОВЛЯЕТ:</w:t>
      </w:r>
    </w:p>
    <w:p w:rsidR="00765B58" w:rsidRDefault="00765B58" w:rsidP="00765B58"/>
    <w:p w:rsidR="00765B58" w:rsidRDefault="00765B58" w:rsidP="00765B58">
      <w:pPr>
        <w:jc w:val="both"/>
      </w:pPr>
      <w:r>
        <w:t>1. Внести в муниципальную программу «</w:t>
      </w:r>
      <w:r w:rsidRPr="00537E8A">
        <w:rPr>
          <w:rFonts w:cs="Times New Roman CYR"/>
        </w:rPr>
        <w:t xml:space="preserve">Развитие культуры и туризма в </w:t>
      </w:r>
      <w:proofErr w:type="spellStart"/>
      <w:r w:rsidRPr="00537E8A">
        <w:rPr>
          <w:rFonts w:cs="Times New Roman CYR"/>
        </w:rPr>
        <w:t>Веретейском</w:t>
      </w:r>
      <w:proofErr w:type="spellEnd"/>
      <w:r w:rsidRPr="00537E8A">
        <w:rPr>
          <w:rFonts w:cs="Times New Roman CYR"/>
        </w:rPr>
        <w:t xml:space="preserve"> сельском поселении</w:t>
      </w:r>
      <w:r>
        <w:t>» на 2015-2020 годы, утверждённую Постановлением Администрации от 26.12.2014г. № 245 следующие изменения:</w:t>
      </w:r>
    </w:p>
    <w:p w:rsidR="00765B58" w:rsidRDefault="00765B58" w:rsidP="00765B58">
      <w:pPr>
        <w:jc w:val="both"/>
      </w:pPr>
      <w:r>
        <w:t>1.1. приложение № 1 к Постановлению изложить в новой редакции (Приложение № 1).</w:t>
      </w: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  <w:r>
        <w:t xml:space="preserve">2. Постановление Администрации </w:t>
      </w:r>
      <w:r w:rsidRPr="00106535">
        <w:t>от 30.</w:t>
      </w:r>
      <w:r>
        <w:t>12</w:t>
      </w:r>
      <w:r w:rsidRPr="00106535">
        <w:t>.201</w:t>
      </w:r>
      <w:r w:rsidR="00C671A8">
        <w:t>6</w:t>
      </w:r>
      <w:r w:rsidRPr="00106535">
        <w:t>г. №</w:t>
      </w:r>
      <w:r>
        <w:t xml:space="preserve"> 409 «О внесении изменений в муниципальную программу «</w:t>
      </w:r>
      <w:r w:rsidRPr="00537E8A">
        <w:rPr>
          <w:rFonts w:cs="Times New Roman CYR"/>
        </w:rPr>
        <w:t xml:space="preserve">Развитие культуры и туризма в </w:t>
      </w:r>
      <w:proofErr w:type="spellStart"/>
      <w:r w:rsidRPr="00537E8A">
        <w:rPr>
          <w:rFonts w:cs="Times New Roman CYR"/>
        </w:rPr>
        <w:t>Веретейском</w:t>
      </w:r>
      <w:proofErr w:type="spellEnd"/>
      <w:r w:rsidRPr="00537E8A">
        <w:rPr>
          <w:rFonts w:cs="Times New Roman CYR"/>
        </w:rPr>
        <w:t xml:space="preserve"> сельском поселении</w:t>
      </w:r>
      <w:r>
        <w:t xml:space="preserve">» на 2015-2020 годы» признать утратившим силу. </w:t>
      </w:r>
    </w:p>
    <w:p w:rsidR="00765B58" w:rsidRDefault="00765B58" w:rsidP="00765B58">
      <w:pPr>
        <w:jc w:val="both"/>
      </w:pPr>
    </w:p>
    <w:p w:rsidR="00765B58" w:rsidRPr="00533FEB" w:rsidRDefault="00765B58" w:rsidP="00765B58">
      <w:pPr>
        <w:jc w:val="both"/>
      </w:pPr>
      <w:r w:rsidRPr="0086779F">
        <w:t>3</w:t>
      </w:r>
      <w:r w:rsidRPr="00533FEB">
        <w:t xml:space="preserve">. </w:t>
      </w:r>
      <w:r w:rsidRPr="00533FEB">
        <w:rPr>
          <w:rFonts w:ascii="Times New Roman CYR" w:hAnsi="Times New Roman CYR" w:cs="Times New Roman CYR"/>
        </w:rPr>
        <w:t>Настоящее Постановление вступает в силу с</w:t>
      </w:r>
      <w:r>
        <w:rPr>
          <w:rFonts w:ascii="Times New Roman CYR" w:hAnsi="Times New Roman CYR" w:cs="Times New Roman CYR"/>
        </w:rPr>
        <w:t xml:space="preserve"> момента его утверждения Муниципальным Советом Веретейского сельского поселения изменений в Решение о бюджете.</w:t>
      </w:r>
    </w:p>
    <w:p w:rsidR="00765B58" w:rsidRPr="00533FEB" w:rsidRDefault="00765B58" w:rsidP="00765B58">
      <w:pPr>
        <w:jc w:val="both"/>
      </w:pPr>
    </w:p>
    <w:p w:rsidR="00765B58" w:rsidRDefault="00765B58" w:rsidP="00765B5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765B58" w:rsidRDefault="00765B58" w:rsidP="00765B58">
      <w:pPr>
        <w:spacing w:line="360" w:lineRule="auto"/>
        <w:jc w:val="both"/>
      </w:pPr>
    </w:p>
    <w:p w:rsidR="00765B58" w:rsidRDefault="00765B58" w:rsidP="00765B58">
      <w:pPr>
        <w:spacing w:line="360" w:lineRule="auto"/>
        <w:jc w:val="both"/>
      </w:pPr>
      <w:r>
        <w:t>Глава</w:t>
      </w:r>
    </w:p>
    <w:p w:rsidR="00765B58" w:rsidRDefault="00765B58" w:rsidP="00765B5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765B58" w:rsidRDefault="00765B58" w:rsidP="00765B58">
      <w:pPr>
        <w:spacing w:line="360" w:lineRule="auto"/>
        <w:jc w:val="both"/>
      </w:pPr>
    </w:p>
    <w:p w:rsidR="00765B58" w:rsidRDefault="00765B58" w:rsidP="00765B58">
      <w:pPr>
        <w:spacing w:line="360" w:lineRule="auto"/>
        <w:jc w:val="both"/>
      </w:pPr>
    </w:p>
    <w:p w:rsidR="00765B58" w:rsidRDefault="00765B58" w:rsidP="00765B58">
      <w:pPr>
        <w:jc w:val="both"/>
        <w:rPr>
          <w:sz w:val="28"/>
          <w:szCs w:val="28"/>
        </w:rPr>
      </w:pPr>
    </w:p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Default="00765B58" w:rsidP="00765B58"/>
    <w:p w:rsidR="00765B58" w:rsidRPr="0086779F" w:rsidRDefault="00765B58" w:rsidP="00765B58">
      <w:pPr>
        <w:jc w:val="right"/>
      </w:pPr>
      <w:r w:rsidRPr="0086779F">
        <w:t>Приложение № 1</w:t>
      </w:r>
    </w:p>
    <w:p w:rsidR="00765B58" w:rsidRPr="0086779F" w:rsidRDefault="00765B58" w:rsidP="00765B58">
      <w:pPr>
        <w:jc w:val="right"/>
      </w:pPr>
      <w:r w:rsidRPr="0086779F">
        <w:t xml:space="preserve">    к Постановлению от </w:t>
      </w:r>
      <w:r>
        <w:t>02</w:t>
      </w:r>
      <w:r w:rsidRPr="0086779F">
        <w:t>.1</w:t>
      </w:r>
      <w:r>
        <w:t>0</w:t>
      </w:r>
      <w:r w:rsidRPr="0086779F">
        <w:t>.201</w:t>
      </w:r>
      <w:r>
        <w:t xml:space="preserve">7 </w:t>
      </w:r>
      <w:r w:rsidRPr="0086779F">
        <w:t xml:space="preserve">г. № </w:t>
      </w:r>
      <w:r>
        <w:t>214</w:t>
      </w: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765B58" w:rsidRDefault="00765B58" w:rsidP="00765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«РАЗВИТИЕ КУЛЬТУРЫ И ТУРИЗМА </w:t>
      </w:r>
    </w:p>
    <w:p w:rsidR="00765B58" w:rsidRDefault="00765B58" w:rsidP="00765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ВЕРЕТЕЙСКОМ СЕЛЬСКОМ ПОСЕЛЕНИИ»</w:t>
      </w:r>
    </w:p>
    <w:p w:rsidR="00765B58" w:rsidRDefault="00765B58" w:rsidP="00765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2015-2020 годы</w:t>
      </w: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center"/>
        <w:rPr>
          <w:b/>
          <w:sz w:val="32"/>
          <w:szCs w:val="3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right"/>
        <w:rPr>
          <w:sz w:val="22"/>
          <w:szCs w:val="22"/>
        </w:rPr>
      </w:pPr>
    </w:p>
    <w:p w:rsidR="00765B58" w:rsidRDefault="00765B58" w:rsidP="00765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Борок</w:t>
      </w:r>
    </w:p>
    <w:p w:rsidR="00765B58" w:rsidRDefault="00765B58" w:rsidP="00765B5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2014г</w:t>
      </w:r>
      <w:r>
        <w:rPr>
          <w:sz w:val="22"/>
          <w:szCs w:val="22"/>
        </w:rPr>
        <w:t>.</w:t>
      </w:r>
    </w:p>
    <w:p w:rsidR="00765B58" w:rsidRDefault="00765B58" w:rsidP="00765B58">
      <w:pPr>
        <w:ind w:right="-185"/>
        <w:jc w:val="center"/>
        <w:rPr>
          <w:rFonts w:cs="Times New Roman CYR"/>
          <w:b/>
        </w:rPr>
      </w:pPr>
      <w:r>
        <w:rPr>
          <w:b/>
        </w:rPr>
        <w:lastRenderedPageBreak/>
        <w:t xml:space="preserve">1. Паспорт </w:t>
      </w:r>
      <w:r>
        <w:rPr>
          <w:rFonts w:cs="Times New Roman CYR"/>
          <w:b/>
        </w:rPr>
        <w:t>муниципальной программы</w:t>
      </w:r>
    </w:p>
    <w:p w:rsidR="00765B58" w:rsidRDefault="00765B58" w:rsidP="00765B58">
      <w:pPr>
        <w:ind w:left="426"/>
        <w:jc w:val="center"/>
        <w:rPr>
          <w:b/>
        </w:rPr>
      </w:pPr>
      <w:r>
        <w:rPr>
          <w:b/>
        </w:rPr>
        <w:t>«</w:t>
      </w:r>
      <w:r>
        <w:rPr>
          <w:rFonts w:cs="Times New Roman CYR"/>
          <w:b/>
        </w:rPr>
        <w:t xml:space="preserve">Развитие культуры и туризма в </w:t>
      </w:r>
      <w:proofErr w:type="spellStart"/>
      <w:r>
        <w:rPr>
          <w:rFonts w:cs="Times New Roman CYR"/>
          <w:b/>
        </w:rPr>
        <w:t>Веретейском</w:t>
      </w:r>
      <w:proofErr w:type="spellEnd"/>
      <w:r>
        <w:rPr>
          <w:rFonts w:cs="Times New Roman CYR"/>
          <w:b/>
        </w:rPr>
        <w:t xml:space="preserve"> сельском поселении» </w:t>
      </w:r>
      <w:r>
        <w:rPr>
          <w:b/>
        </w:rPr>
        <w:t xml:space="preserve"> </w:t>
      </w:r>
    </w:p>
    <w:p w:rsidR="00765B58" w:rsidRDefault="00765B58" w:rsidP="00765B58">
      <w:pPr>
        <w:spacing w:line="240" w:lineRule="atLeast"/>
        <w:ind w:left="426"/>
        <w:jc w:val="center"/>
        <w:rPr>
          <w:rFonts w:cs="Times New Roman CYR"/>
          <w:b/>
        </w:rPr>
      </w:pPr>
      <w:r>
        <w:rPr>
          <w:rFonts w:cs="Times New Roman CYR"/>
          <w:b/>
        </w:rPr>
        <w:t>на 2015 – 2020 годы</w:t>
      </w:r>
    </w:p>
    <w:p w:rsidR="00765B58" w:rsidRDefault="00765B58" w:rsidP="00765B58">
      <w:pPr>
        <w:ind w:left="426"/>
        <w:jc w:val="center"/>
        <w:rPr>
          <w:rFonts w:cs="Times New Roman CYR"/>
          <w:b/>
        </w:rPr>
      </w:pPr>
    </w:p>
    <w:tbl>
      <w:tblPr>
        <w:tblW w:w="9720" w:type="dxa"/>
        <w:tblInd w:w="216" w:type="dxa"/>
        <w:tblLook w:val="0000"/>
      </w:tblPr>
      <w:tblGrid>
        <w:gridCol w:w="2880"/>
        <w:gridCol w:w="6840"/>
      </w:tblGrid>
      <w:tr w:rsidR="00765B58" w:rsidTr="00EE311E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Ответственный исполнитель </w:t>
            </w:r>
          </w:p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</w:rPr>
              <w:t>муниципальной 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Администрация Веретейского сельского поселения 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Главный  специалист по социальной политике и туризму Врублевская Надежда Викторовна</w:t>
            </w:r>
          </w:p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</w:rPr>
              <w:t xml:space="preserve">тел. (48547) 24821  </w:t>
            </w:r>
          </w:p>
        </w:tc>
      </w:tr>
      <w:tr w:rsidR="00765B58" w:rsidTr="00EE311E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</w:rPr>
              <w:t>Координатор 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ascii="Calibri" w:hAnsi="Calibri" w:cs="Calibri"/>
              </w:rPr>
            </w:pPr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Татьяна Борисовна</w:t>
            </w:r>
          </w:p>
        </w:tc>
      </w:tr>
      <w:tr w:rsidR="00765B58" w:rsidTr="00EE311E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Сроки реализации </w:t>
            </w:r>
          </w:p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</w:rPr>
              <w:t>муниципальной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2015 – 2020 </w:t>
            </w:r>
            <w:r>
              <w:rPr>
                <w:rFonts w:cs="Times New Roman CYR"/>
              </w:rPr>
              <w:t>годы</w:t>
            </w:r>
          </w:p>
        </w:tc>
      </w:tr>
      <w:tr w:rsidR="00765B58" w:rsidTr="00EE311E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</w:rPr>
              <w:t xml:space="preserve">Цель муниципальной программы 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  <w:color w:val="000000"/>
              </w:rPr>
            </w:pPr>
            <w:r>
              <w:rPr>
                <w:rFonts w:cs="Times New Roman CYR"/>
                <w:color w:val="000000"/>
              </w:rPr>
              <w:t xml:space="preserve">Создание условий для устойчивого развития  культуры и туризма  в </w:t>
            </w:r>
            <w:proofErr w:type="spellStart"/>
            <w:r>
              <w:rPr>
                <w:rFonts w:cs="Times New Roman CYR"/>
                <w:color w:val="000000"/>
              </w:rPr>
              <w:t>Веретейском</w:t>
            </w:r>
            <w:proofErr w:type="spellEnd"/>
            <w:r>
              <w:rPr>
                <w:rFonts w:cs="Times New Roman CYR"/>
                <w:color w:val="000000"/>
              </w:rPr>
              <w:t xml:space="preserve"> сельском поселении </w:t>
            </w:r>
          </w:p>
          <w:p w:rsidR="00765B58" w:rsidRDefault="00765B58" w:rsidP="00EE311E">
            <w:pPr>
              <w:rPr>
                <w:rFonts w:ascii="Calibri" w:hAnsi="Calibri" w:cs="Calibri"/>
              </w:rPr>
            </w:pPr>
          </w:p>
        </w:tc>
      </w:tr>
      <w:tr w:rsidR="00765B58" w:rsidTr="00EE311E">
        <w:trPr>
          <w:trHeight w:val="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>Объём финансирования муниципальной  программы за счёт всех источников</w:t>
            </w:r>
          </w:p>
          <w:p w:rsidR="00765B58" w:rsidRDefault="00765B58" w:rsidP="00EE311E">
            <w:pPr>
              <w:rPr>
                <w:rFonts w:ascii="Calibri" w:hAnsi="Calibri" w:cs="Calibri"/>
              </w:rPr>
            </w:pP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pStyle w:val="p28"/>
              <w:spacing w:before="0" w:beforeAutospacing="0" w:after="0" w:afterAutospacing="0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всего по муниципальной  программе: </w:t>
            </w:r>
            <w:r>
              <w:rPr>
                <w:rFonts w:cs="Times New Roman CYR"/>
                <w:b/>
                <w:bCs/>
              </w:rPr>
              <w:t>6 684 306</w:t>
            </w:r>
            <w:r>
              <w:rPr>
                <w:rFonts w:cs="Times New Roman CYR"/>
              </w:rPr>
              <w:t> рублей;</w:t>
            </w:r>
          </w:p>
          <w:p w:rsidR="00765B58" w:rsidRDefault="00765B58" w:rsidP="00EE311E">
            <w:pPr>
              <w:pStyle w:val="p4"/>
              <w:spacing w:before="0" w:beforeAutospacing="0" w:after="0" w:afterAutospacing="0"/>
            </w:pPr>
            <w:r>
              <w:t>2015 </w:t>
            </w:r>
            <w:r>
              <w:rPr>
                <w:rFonts w:cs="Times New Roman CYR"/>
              </w:rPr>
              <w:t>год – 1 142 000 рублей;</w:t>
            </w:r>
          </w:p>
          <w:p w:rsidR="00765B58" w:rsidRDefault="00765B58" w:rsidP="00EE311E">
            <w:pPr>
              <w:pStyle w:val="p4"/>
              <w:spacing w:before="0" w:beforeAutospacing="0" w:after="0" w:afterAutospacing="0"/>
            </w:pPr>
            <w:r>
              <w:t>2016 </w:t>
            </w:r>
            <w:r>
              <w:rPr>
                <w:rFonts w:cs="Times New Roman CYR"/>
              </w:rPr>
              <w:t>год – 1 367 306 рублей;</w:t>
            </w:r>
          </w:p>
          <w:p w:rsidR="00765B58" w:rsidRDefault="00765B58" w:rsidP="00EE311E">
            <w:pPr>
              <w:pStyle w:val="p4"/>
              <w:spacing w:before="0" w:beforeAutospacing="0" w:after="0" w:afterAutospacing="0"/>
            </w:pPr>
            <w:r>
              <w:t>2017 </w:t>
            </w:r>
            <w:r>
              <w:rPr>
                <w:rFonts w:cs="Times New Roman CYR"/>
              </w:rPr>
              <w:t>год</w:t>
            </w:r>
            <w:r>
              <w:t> </w:t>
            </w:r>
            <w:r>
              <w:rPr>
                <w:rFonts w:cs="Times New Roman CYR"/>
                <w:b/>
                <w:bCs/>
              </w:rPr>
              <w:t>– 1 475</w:t>
            </w:r>
            <w:r>
              <w:t> </w:t>
            </w:r>
            <w:r w:rsidRPr="00102BFB">
              <w:rPr>
                <w:rFonts w:cs="Times New Roman CYR"/>
                <w:b/>
              </w:rPr>
              <w:t>000</w:t>
            </w:r>
            <w:r>
              <w:rPr>
                <w:rFonts w:cs="Times New Roman CYR"/>
              </w:rPr>
              <w:t xml:space="preserve"> рублей;</w:t>
            </w:r>
          </w:p>
          <w:p w:rsidR="00765B58" w:rsidRDefault="00765B58" w:rsidP="00EE311E">
            <w:pPr>
              <w:pStyle w:val="p4"/>
              <w:spacing w:before="0" w:beforeAutospacing="0" w:after="0" w:afterAutospacing="0"/>
            </w:pPr>
            <w:r>
              <w:t>2018 </w:t>
            </w:r>
            <w:r>
              <w:rPr>
                <w:rFonts w:cs="Times New Roman CYR"/>
              </w:rPr>
              <w:t>год – 900 000 рублей;</w:t>
            </w:r>
          </w:p>
          <w:p w:rsidR="00765B58" w:rsidRDefault="00765B58" w:rsidP="00EE311E">
            <w:pPr>
              <w:pStyle w:val="p4"/>
              <w:spacing w:before="0" w:beforeAutospacing="0" w:after="0" w:afterAutospacing="0"/>
            </w:pPr>
            <w:r>
              <w:t>2019 </w:t>
            </w:r>
            <w:r>
              <w:rPr>
                <w:rFonts w:cs="Times New Roman CYR"/>
              </w:rPr>
              <w:t>год – 900 000 рублей;</w:t>
            </w:r>
          </w:p>
          <w:p w:rsidR="00765B58" w:rsidRDefault="00765B58" w:rsidP="00EE311E">
            <w:pPr>
              <w:rPr>
                <w:rFonts w:ascii="Calibri" w:hAnsi="Calibri" w:cs="Calibri"/>
              </w:rPr>
            </w:pPr>
            <w:r>
              <w:t>2020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cs="Times New Roman CYR"/>
                <w:sz w:val="22"/>
                <w:szCs w:val="22"/>
              </w:rPr>
              <w:t>год</w:t>
            </w:r>
            <w:r>
              <w:rPr>
                <w:rFonts w:cs="Times New Roman CYR"/>
              </w:rPr>
              <w:t xml:space="preserve"> – 900 000 рублей</w:t>
            </w:r>
          </w:p>
        </w:tc>
      </w:tr>
      <w:tr w:rsidR="00765B58" w:rsidTr="00EE311E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ascii="Calibri" w:hAnsi="Calibri" w:cs="Calibri"/>
              </w:rPr>
            </w:pPr>
            <w:r>
              <w:rPr>
                <w:rFonts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765B58" w:rsidTr="00EE311E">
        <w:trPr>
          <w:trHeight w:val="165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</w:rPr>
            </w:pPr>
            <w:r>
              <w:t>1.1</w:t>
            </w:r>
            <w:r>
              <w:rPr>
                <w:rFonts w:cs="Times New Roman CYR"/>
              </w:rPr>
              <w:t xml:space="preserve">Создание условий для стимулирования населения к творческой самореализации 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1.2 </w:t>
            </w:r>
            <w:r>
              <w:rPr>
                <w:rFonts w:cs="Times New Roman CYR"/>
              </w:rPr>
              <w:t xml:space="preserve">Развитие и совершенствование системы массовых </w:t>
            </w:r>
            <w:proofErr w:type="spellStart"/>
            <w:r>
              <w:rPr>
                <w:rFonts w:cs="Times New Roman CYR"/>
              </w:rPr>
              <w:t>культурно-досуговых</w:t>
            </w:r>
            <w:proofErr w:type="spellEnd"/>
            <w:r>
              <w:rPr>
                <w:rFonts w:cs="Times New Roman CYR"/>
              </w:rPr>
              <w:t xml:space="preserve"> мероприятий 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>1.3</w:t>
            </w:r>
            <w:r>
              <w:rPr>
                <w:rFonts w:cs="Times New Roman CYR"/>
              </w:rPr>
              <w:t xml:space="preserve">Развитие инфраструктуры и укрепление материально-технической базы учреждений культуры 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1.4 </w:t>
            </w:r>
            <w:r>
              <w:rPr>
                <w:rFonts w:cs="Times New Roman CYR"/>
              </w:rPr>
              <w:t>Библиотечное  дело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1.5 </w:t>
            </w:r>
            <w:r>
              <w:rPr>
                <w:rFonts w:cs="Times New Roman CYR"/>
              </w:rPr>
              <w:t>Аналитическо-информационное обеспечение и издательская деятельность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2.1  </w:t>
            </w:r>
            <w:r>
              <w:rPr>
                <w:rFonts w:cs="Times New Roman CYR"/>
              </w:rPr>
              <w:t xml:space="preserve">Формирование системы управления развитием туризма  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 2.2. </w:t>
            </w:r>
            <w:r>
              <w:rPr>
                <w:rFonts w:cs="Times New Roman CYR"/>
              </w:rPr>
              <w:t xml:space="preserve">Развитие инфраструктуры и материальной базы </w:t>
            </w:r>
            <w:r>
              <w:rPr>
                <w:rFonts w:cs="Times New Roman CYR"/>
              </w:rPr>
              <w:lastRenderedPageBreak/>
              <w:t>туризма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2.3. </w:t>
            </w:r>
            <w:r>
              <w:rPr>
                <w:rFonts w:cs="Times New Roman CYR"/>
              </w:rPr>
              <w:t>Рекламно-информационное обеспечение туристской деятельности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t xml:space="preserve">2.4  </w:t>
            </w:r>
            <w:r>
              <w:rPr>
                <w:rFonts w:cs="Times New Roman CYR"/>
              </w:rPr>
              <w:t>Формирование  привлекательного туристского имиджа</w:t>
            </w:r>
          </w:p>
          <w:p w:rsidR="00765B58" w:rsidRDefault="00765B58" w:rsidP="00EE311E">
            <w:pPr>
              <w:rPr>
                <w:rFonts w:ascii="Calibri" w:hAnsi="Calibri" w:cs="Calibri"/>
              </w:rPr>
            </w:pPr>
            <w:r>
              <w:t xml:space="preserve">2.5 </w:t>
            </w:r>
            <w:r>
              <w:rPr>
                <w:rFonts w:cs="Times New Roman CYR"/>
              </w:rPr>
              <w:t>Подготовка кадров в сфере туризма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Администрация Веретейского сельского поселения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cs="Times New Roman CYR"/>
              </w:rPr>
              <w:t>Гавриш</w:t>
            </w:r>
            <w:proofErr w:type="spellEnd"/>
            <w:r>
              <w:rPr>
                <w:rFonts w:cs="Times New Roman CYR"/>
              </w:rPr>
              <w:t xml:space="preserve"> Т.Б.</w:t>
            </w:r>
          </w:p>
          <w:p w:rsidR="00765B58" w:rsidRDefault="00765B58" w:rsidP="00EE311E">
            <w:pPr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Главный специалист по социальной политике  и туризму </w:t>
            </w:r>
          </w:p>
          <w:p w:rsidR="00765B58" w:rsidRDefault="00765B58" w:rsidP="00EE311E">
            <w:pPr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</w:rPr>
              <w:t xml:space="preserve">Врублевская Н.В. тел. (48547) 24821  </w:t>
            </w:r>
          </w:p>
        </w:tc>
      </w:tr>
      <w:tr w:rsidR="00765B58" w:rsidTr="00EE311E">
        <w:trPr>
          <w:trHeight w:val="26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rPr>
                <w:rFonts w:ascii="Calibri" w:hAnsi="Calibri" w:cs="Calibri"/>
              </w:rPr>
            </w:pPr>
            <w:r>
              <w:rPr>
                <w:rFonts w:cs="Times New Roman CYR"/>
              </w:rPr>
              <w:lastRenderedPageBreak/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cs="Times New Roman CYR"/>
              </w:rPr>
              <w:t>Интернет</w:t>
            </w:r>
            <w:r>
              <w:t>»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65B58" w:rsidRDefault="00765B58" w:rsidP="00EE311E">
            <w:pPr>
              <w:ind w:left="34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adm-vsp.ru</w:t>
            </w:r>
          </w:p>
        </w:tc>
      </w:tr>
    </w:tbl>
    <w:p w:rsidR="00765B58" w:rsidRDefault="00765B58" w:rsidP="00765B58">
      <w:pPr>
        <w:ind w:left="426"/>
        <w:jc w:val="center"/>
        <w:rPr>
          <w:rFonts w:cs="Times New Roman CYR"/>
          <w:b/>
        </w:rPr>
      </w:pPr>
    </w:p>
    <w:p w:rsidR="00765B58" w:rsidRDefault="00765B58" w:rsidP="00765B58">
      <w:pPr>
        <w:jc w:val="center"/>
        <w:rPr>
          <w:rFonts w:cs="Times New Roman CYR"/>
          <w:b/>
          <w:sz w:val="26"/>
          <w:szCs w:val="26"/>
        </w:rPr>
      </w:pPr>
      <w:r>
        <w:rPr>
          <w:rFonts w:cs="Times New Roman CYR"/>
          <w:b/>
          <w:caps/>
          <w:sz w:val="26"/>
          <w:szCs w:val="26"/>
        </w:rPr>
        <w:t>3.</w:t>
      </w:r>
      <w:r>
        <w:rPr>
          <w:rFonts w:cs="Times New Roman CYR"/>
          <w:b/>
          <w:sz w:val="26"/>
          <w:szCs w:val="26"/>
        </w:rPr>
        <w:t xml:space="preserve"> Перечень основных мероприятий программы</w:t>
      </w:r>
    </w:p>
    <w:tbl>
      <w:tblPr>
        <w:tblStyle w:val="a4"/>
        <w:tblW w:w="0" w:type="auto"/>
        <w:tblInd w:w="250" w:type="dxa"/>
        <w:tblLook w:val="01E0"/>
      </w:tblPr>
      <w:tblGrid>
        <w:gridCol w:w="585"/>
        <w:gridCol w:w="2675"/>
        <w:gridCol w:w="1843"/>
        <w:gridCol w:w="1559"/>
        <w:gridCol w:w="2659"/>
      </w:tblGrid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  <w:rPr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675" w:type="dxa"/>
          </w:tcPr>
          <w:p w:rsidR="00765B58" w:rsidRDefault="00765B58" w:rsidP="00EE311E">
            <w:pPr>
              <w:ind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765B58" w:rsidRDefault="00765B58" w:rsidP="00EE311E">
            <w:pPr>
              <w:ind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765B58" w:rsidRDefault="00765B58" w:rsidP="00EE311E">
            <w:pPr>
              <w:ind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765B58" w:rsidRDefault="00765B58" w:rsidP="00EE311E">
            <w:pPr>
              <w:ind w:right="57"/>
              <w:jc w:val="center"/>
              <w:rPr>
                <w:rFonts w:cs="Times New Roman CYR"/>
                <w:color w:val="000000"/>
                <w:spacing w:val="-4"/>
                <w:sz w:val="22"/>
                <w:szCs w:val="22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765B58" w:rsidRDefault="00765B58" w:rsidP="00EE311E">
            <w:pPr>
              <w:ind w:right="57"/>
              <w:jc w:val="center"/>
              <w:rPr>
                <w:rFonts w:ascii="Calibri" w:hAnsi="Calibri" w:cs="Calibri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right="57"/>
              <w:jc w:val="center"/>
              <w:rPr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Срок</w:t>
            </w:r>
          </w:p>
          <w:p w:rsidR="00765B58" w:rsidRDefault="00765B58" w:rsidP="00EE311E">
            <w:pPr>
              <w:ind w:right="57"/>
              <w:jc w:val="center"/>
              <w:rPr>
                <w:rFonts w:ascii="Calibri" w:hAnsi="Calibri" w:cs="Calibri"/>
              </w:rPr>
            </w:pPr>
            <w:r>
              <w:t>реализации</w:t>
            </w:r>
          </w:p>
        </w:tc>
        <w:tc>
          <w:tcPr>
            <w:tcW w:w="2659" w:type="dxa"/>
          </w:tcPr>
          <w:p w:rsidR="00765B58" w:rsidRDefault="00765B58" w:rsidP="00EE311E">
            <w:pPr>
              <w:ind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765B58" w:rsidRDefault="00765B58" w:rsidP="00EE311E">
            <w:pPr>
              <w:ind w:right="57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pacing w:val="-4"/>
                <w:highlight w:val="white"/>
              </w:rPr>
              <w:t>(</w:t>
            </w:r>
            <w:r>
              <w:rPr>
                <w:rFonts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right="57"/>
              <w:rPr>
                <w:rFonts w:ascii="Calibri" w:hAnsi="Calibri" w:cs="Calibri"/>
              </w:rPr>
            </w:pPr>
            <w:r>
              <w:t>Создание условий для стимулирования населения к творческой самореализации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 специалист по социальной политике и туризму</w:t>
            </w:r>
          </w:p>
          <w:p w:rsidR="00765B58" w:rsidRDefault="00765B58" w:rsidP="00EE311E">
            <w:pPr>
              <w:ind w:left="57" w:right="57"/>
              <w:jc w:val="center"/>
            </w:pPr>
            <w:proofErr w:type="spellStart"/>
            <w:r>
              <w:t>ККМПФКиС</w:t>
            </w:r>
            <w:proofErr w:type="spellEnd"/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jc w:val="center"/>
              <w:rPr>
                <w:rFonts w:ascii="Calibri" w:hAnsi="Calibri" w:cs="Calibri"/>
              </w:rPr>
            </w:pPr>
            <w:r>
              <w:t>расширение творческих возможностей граждан,  раскрытие талантов, реализация творческих инициатив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2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rPr>
                <w:rFonts w:ascii="Calibri" w:hAnsi="Calibri" w:cs="Calibri"/>
              </w:rPr>
            </w:pPr>
            <w:r>
              <w:t xml:space="preserve">Развитие и совершенствование системы массовых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Главный</w:t>
            </w:r>
            <w:r>
              <w:t xml:space="preserve">  специалист по социальной политике и туризму</w:t>
            </w:r>
          </w:p>
          <w:p w:rsidR="00765B58" w:rsidRDefault="00765B58" w:rsidP="00EE311E">
            <w:pPr>
              <w:ind w:left="57" w:right="57"/>
              <w:jc w:val="center"/>
            </w:pPr>
            <w:proofErr w:type="spellStart"/>
            <w:r>
              <w:t>ККМПФКиС</w:t>
            </w:r>
            <w:proofErr w:type="spellEnd"/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jc w:val="center"/>
            </w:pPr>
            <w:r>
              <w:t xml:space="preserve">вовлечение населения в </w:t>
            </w:r>
            <w:proofErr w:type="gramStart"/>
            <w:r>
              <w:t>активную</w:t>
            </w:r>
            <w:proofErr w:type="gramEnd"/>
          </w:p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</w:rPr>
            </w:pPr>
            <w:proofErr w:type="spellStart"/>
            <w:r>
              <w:t>социокультурную</w:t>
            </w:r>
            <w:proofErr w:type="spellEnd"/>
            <w:r>
              <w:t xml:space="preserve"> д</w:t>
            </w:r>
            <w:r>
              <w:rPr>
                <w:sz w:val="22"/>
                <w:szCs w:val="22"/>
              </w:rPr>
              <w:t xml:space="preserve">еятельность, </w:t>
            </w:r>
            <w:r>
              <w:t xml:space="preserve">  повышение культурного авторитета Веретейского сельского  поселения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3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rPr>
                <w:rFonts w:ascii="Calibri" w:hAnsi="Calibri" w:cs="Calibri"/>
              </w:rPr>
            </w:pPr>
            <w:r>
              <w:t xml:space="preserve">Развитие </w:t>
            </w:r>
            <w:proofErr w:type="spellStart"/>
            <w:r>
              <w:t>ифраструктуры</w:t>
            </w:r>
            <w:proofErr w:type="spellEnd"/>
            <w:r>
              <w:t xml:space="preserve"> и укрепление материально-технической базы учреждений культуры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  специалист по социальной политике и туризму</w:t>
            </w:r>
          </w:p>
          <w:p w:rsidR="00765B58" w:rsidRDefault="00765B58" w:rsidP="00EE311E">
            <w:pPr>
              <w:ind w:left="57" w:right="57"/>
              <w:jc w:val="center"/>
            </w:pPr>
            <w:proofErr w:type="spellStart"/>
            <w:r>
              <w:t>ККМПФКиС</w:t>
            </w:r>
            <w:proofErr w:type="spellEnd"/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jc w:val="center"/>
            </w:pPr>
            <w:r>
              <w:t>создание комфортных и безопасных условий   предоставления</w:t>
            </w:r>
          </w:p>
          <w:p w:rsidR="00765B58" w:rsidRDefault="00765B58" w:rsidP="00EE311E">
            <w:pPr>
              <w:jc w:val="center"/>
            </w:pPr>
            <w:proofErr w:type="spellStart"/>
            <w:r>
              <w:t>культурно-досуговых</w:t>
            </w:r>
            <w:proofErr w:type="spellEnd"/>
            <w:r>
              <w:t xml:space="preserve"> услуг;  обновление парка музыкальных инструментов и специального оборудования, сценических костюмов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4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Библиотечное и музейное дело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  специалист по социальной политике и туризму</w:t>
            </w:r>
          </w:p>
          <w:p w:rsidR="00765B58" w:rsidRDefault="00765B58" w:rsidP="00EE311E">
            <w:pPr>
              <w:ind w:left="57" w:right="57"/>
              <w:jc w:val="center"/>
            </w:pPr>
            <w:proofErr w:type="spellStart"/>
            <w:r>
              <w:lastRenderedPageBreak/>
              <w:t>ККМПФКиС</w:t>
            </w:r>
            <w:proofErr w:type="spellEnd"/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lastRenderedPageBreak/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jc w:val="center"/>
            </w:pPr>
            <w:r>
              <w:t>повышение качества и расширение спектра библиотечных услуг;</w:t>
            </w:r>
          </w:p>
          <w:p w:rsidR="00765B58" w:rsidRDefault="00765B58" w:rsidP="00EE311E">
            <w:pPr>
              <w:jc w:val="center"/>
            </w:pPr>
            <w:r>
              <w:t>повышение интереса населения к культурно-</w:t>
            </w:r>
            <w:r>
              <w:lastRenderedPageBreak/>
              <w:t>историческому наследию</w:t>
            </w:r>
          </w:p>
          <w:p w:rsidR="00765B58" w:rsidRDefault="00765B58" w:rsidP="00EE311E">
            <w:pPr>
              <w:jc w:val="center"/>
              <w:rPr>
                <w:sz w:val="22"/>
                <w:szCs w:val="22"/>
              </w:rPr>
            </w:pPr>
            <w:r>
              <w:t>повышение к</w:t>
            </w:r>
            <w:r>
              <w:rPr>
                <w:sz w:val="22"/>
                <w:szCs w:val="22"/>
              </w:rPr>
              <w:t>ультурного авторитета</w:t>
            </w:r>
          </w:p>
          <w:p w:rsidR="00765B58" w:rsidRDefault="00765B58" w:rsidP="00EE311E">
            <w:pPr>
              <w:jc w:val="center"/>
            </w:pPr>
            <w:r>
              <w:t>Веретейского сельского поселения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lastRenderedPageBreak/>
              <w:t>5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Аналитическо-информационное обеспечение и издательская деятельность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</w:t>
            </w:r>
            <w:r>
              <w:rPr>
                <w:color w:val="000000"/>
                <w:spacing w:val="-4"/>
                <w:highlight w:val="white"/>
              </w:rPr>
              <w:t xml:space="preserve">  специалист </w:t>
            </w:r>
            <w:r>
              <w:t xml:space="preserve">  по социальной политике и туризму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hd w:val="clear" w:color="auto" w:fill="FFFFFF"/>
              </w:rPr>
              <w:t>информационное сопровождение культурной деятельности, повышение информационной открытости учреждений культуры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6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cs="Times New Roman CYR"/>
                <w:bCs/>
              </w:rPr>
              <w:t xml:space="preserve">Основное мероприятие - Формирование системы управления развитием туризма </w:t>
            </w:r>
            <w:r>
              <w:t xml:space="preserve">  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 xml:space="preserve">й  специалист по социальной политике и туризму  </w:t>
            </w:r>
            <w:proofErr w:type="spellStart"/>
            <w:r>
              <w:t>ККМПФКиС</w:t>
            </w:r>
            <w:proofErr w:type="spellEnd"/>
          </w:p>
          <w:p w:rsidR="00765B58" w:rsidRDefault="00765B58" w:rsidP="00EE311E">
            <w:pPr>
              <w:ind w:left="57" w:right="57"/>
              <w:jc w:val="center"/>
            </w:pPr>
            <w:r>
              <w:t>КСРТ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</w:rPr>
            </w:pPr>
            <w:r>
              <w:t>повышение эффективности,  доступности,   качества и расширение спектра услуг в сфере туризма, координация и активизация действий Администрации ВСП, научных учреждений, предпринимателей, других заинтересованных в развитии туризма сторон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7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rPr>
                <w:rFonts w:ascii="Calibri" w:hAnsi="Calibri" w:cs="Calibri"/>
              </w:rPr>
            </w:pPr>
            <w:r>
              <w:t>Развитие инфраструктуры и материальной базы туризма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 специалист по социальной политике и туризму</w:t>
            </w:r>
          </w:p>
          <w:p w:rsidR="00765B58" w:rsidRDefault="00765B58" w:rsidP="00EE311E">
            <w:pPr>
              <w:ind w:left="57" w:right="57"/>
              <w:jc w:val="center"/>
            </w:pPr>
            <w:r>
              <w:t xml:space="preserve">ИП 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pacing w:val="-4"/>
                <w:highlight w:val="white"/>
              </w:rPr>
              <w:t>2015-</w:t>
            </w:r>
            <w:r>
              <w:rPr>
                <w:color w:val="000000"/>
                <w:spacing w:val="-4"/>
                <w:highlight w:val="white"/>
                <w:lang w:val="en-US"/>
              </w:rPr>
              <w:t>20</w:t>
            </w:r>
            <w:proofErr w:type="spellStart"/>
            <w:r>
              <w:rPr>
                <w:color w:val="000000"/>
                <w:spacing w:val="-4"/>
                <w:highlight w:val="white"/>
              </w:rPr>
              <w:t>20</w:t>
            </w:r>
            <w:proofErr w:type="spellEnd"/>
          </w:p>
        </w:tc>
        <w:tc>
          <w:tcPr>
            <w:tcW w:w="2659" w:type="dxa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</w:rPr>
            </w:pPr>
            <w:r>
              <w:t>увеличение количества объектов инфраструктуры, создание комфортных условий для туристов и отдыхающих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8</w:t>
            </w:r>
          </w:p>
        </w:tc>
        <w:tc>
          <w:tcPr>
            <w:tcW w:w="2675" w:type="dxa"/>
          </w:tcPr>
          <w:p w:rsidR="00765B58" w:rsidRDefault="00765B58" w:rsidP="00EE311E">
            <w:pPr>
              <w:ind w:left="57" w:right="57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Рекламно-информационное обеспечение туристской деятельности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 специалист по социальной политике и туризму</w:t>
            </w:r>
          </w:p>
          <w:p w:rsidR="00765B58" w:rsidRDefault="00765B58" w:rsidP="00EE311E">
            <w:pPr>
              <w:ind w:left="57" w:right="57"/>
              <w:jc w:val="center"/>
            </w:pPr>
            <w:r>
              <w:t>КСРТ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2015-2020</w:t>
            </w:r>
          </w:p>
        </w:tc>
        <w:tc>
          <w:tcPr>
            <w:tcW w:w="2659" w:type="dxa"/>
          </w:tcPr>
          <w:p w:rsidR="00765B58" w:rsidRDefault="00765B58" w:rsidP="00EE311E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color w:val="000000"/>
              </w:rPr>
              <w:t xml:space="preserve">повышение туристской известности,  формирование единого информационного пространства, обеспечение стабильного </w:t>
            </w:r>
            <w:proofErr w:type="spellStart"/>
            <w:r>
              <w:rPr>
                <w:color w:val="000000"/>
              </w:rPr>
              <w:t>турпотока</w:t>
            </w:r>
            <w:proofErr w:type="spellEnd"/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t>9</w:t>
            </w:r>
          </w:p>
        </w:tc>
        <w:tc>
          <w:tcPr>
            <w:tcW w:w="2675" w:type="dxa"/>
          </w:tcPr>
          <w:p w:rsidR="00765B58" w:rsidRDefault="00765B58" w:rsidP="00EE311E">
            <w:pPr>
              <w:rPr>
                <w:rFonts w:ascii="Calibri" w:hAnsi="Calibri" w:cs="Calibri"/>
              </w:rPr>
            </w:pPr>
            <w:r>
              <w:t>Формирование  привлекательного туристского имиджа</w:t>
            </w: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 xml:space="preserve">й специалист по социальной политике и туризму </w:t>
            </w:r>
          </w:p>
          <w:p w:rsidR="00765B58" w:rsidRDefault="00765B58" w:rsidP="00EE311E">
            <w:pPr>
              <w:ind w:left="57" w:right="57"/>
              <w:jc w:val="center"/>
            </w:pPr>
            <w:r>
              <w:lastRenderedPageBreak/>
              <w:t xml:space="preserve"> КСРТ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lastRenderedPageBreak/>
              <w:t>2015-2020</w:t>
            </w:r>
          </w:p>
        </w:tc>
        <w:tc>
          <w:tcPr>
            <w:tcW w:w="2659" w:type="dxa"/>
          </w:tcPr>
          <w:p w:rsidR="00765B58" w:rsidRDefault="00765B58" w:rsidP="00EE311E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color w:val="000000"/>
              </w:rPr>
              <w:t>повышение туристской известности ВСП, увеличение  потока туристов</w:t>
            </w:r>
          </w:p>
        </w:tc>
      </w:tr>
      <w:tr w:rsidR="00765B58" w:rsidTr="00EE311E">
        <w:tc>
          <w:tcPr>
            <w:tcW w:w="585" w:type="dxa"/>
          </w:tcPr>
          <w:p w:rsidR="00765B58" w:rsidRDefault="00765B58" w:rsidP="00EE311E">
            <w:pPr>
              <w:ind w:right="57"/>
              <w:jc w:val="center"/>
            </w:pPr>
            <w:r>
              <w:lastRenderedPageBreak/>
              <w:t>10</w:t>
            </w:r>
          </w:p>
        </w:tc>
        <w:tc>
          <w:tcPr>
            <w:tcW w:w="2675" w:type="dxa"/>
          </w:tcPr>
          <w:p w:rsidR="00765B58" w:rsidRDefault="00765B58" w:rsidP="00EE311E">
            <w:r>
              <w:t xml:space="preserve">Подготовка кадров в сфере туризма </w:t>
            </w:r>
          </w:p>
          <w:p w:rsidR="00765B58" w:rsidRDefault="00765B58" w:rsidP="00EE311E">
            <w:pPr>
              <w:ind w:left="57" w:right="57"/>
            </w:pPr>
          </w:p>
        </w:tc>
        <w:tc>
          <w:tcPr>
            <w:tcW w:w="1843" w:type="dxa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rFonts w:cs="Times New Roman CYR"/>
              </w:rPr>
              <w:t>Главны</w:t>
            </w:r>
            <w:r>
              <w:t>й  специалист по социальной политике и туризму</w:t>
            </w:r>
          </w:p>
        </w:tc>
        <w:tc>
          <w:tcPr>
            <w:tcW w:w="1559" w:type="dxa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2015-2020</w:t>
            </w:r>
          </w:p>
        </w:tc>
        <w:tc>
          <w:tcPr>
            <w:tcW w:w="2659" w:type="dxa"/>
          </w:tcPr>
          <w:p w:rsidR="00765B58" w:rsidRDefault="00765B58" w:rsidP="00EE311E">
            <w:pPr>
              <w:jc w:val="center"/>
            </w:pPr>
            <w:r>
              <w:t>изучение и внедрение положительного  опыта в сфере развития туризма;</w:t>
            </w:r>
          </w:p>
          <w:p w:rsidR="00765B58" w:rsidRDefault="00765B58" w:rsidP="00EE311E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color w:val="000000"/>
              </w:rPr>
              <w:t>расширение спектра, повышение  качества предоставляемых услуг; развитие здоровой конкуренции</w:t>
            </w:r>
          </w:p>
        </w:tc>
      </w:tr>
    </w:tbl>
    <w:p w:rsidR="00765B58" w:rsidRDefault="000119A1" w:rsidP="00765B58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БлокТекста1" o:spid="_x0000_s1026" type="#_x0000_t202" style="position:absolute;left:0;text-align:left;margin-left:0;margin-top:3.15pt;width:467.75pt;height:728.5pt;z-index:251660288;visibility:visible;mso-wrap-style:none;mso-position-horizontal:center;mso-position-horizontal-relative:margin;mso-position-vertical-relative:text" o:allowincell="f" filled="f" stroked="f">
            <v:textbox style="mso-next-textbox:#БлокТекста1;mso-fit-shape-to-text:t" inset="0,0,0,0">
              <w:txbxContent>
                <w:p w:rsidR="00765B58" w:rsidRDefault="00765B58" w:rsidP="00765B58"/>
              </w:txbxContent>
            </v:textbox>
            <w10:wrap type="square" anchorx="margin"/>
          </v:shape>
        </w:pict>
      </w:r>
    </w:p>
    <w:p w:rsidR="00765B58" w:rsidRDefault="00765B58" w:rsidP="00765B58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4. Перечень и сведения о целевых индикаторах и показателях </w:t>
      </w:r>
    </w:p>
    <w:p w:rsidR="00765B58" w:rsidRDefault="00765B58" w:rsidP="00765B58">
      <w:pPr>
        <w:ind w:left="360"/>
        <w:jc w:val="center"/>
        <w:rPr>
          <w:b/>
          <w:color w:val="000000"/>
        </w:rPr>
      </w:pPr>
    </w:p>
    <w:p w:rsidR="00765B58" w:rsidRDefault="00765B58" w:rsidP="00765B58">
      <w:pPr>
        <w:ind w:firstLine="540"/>
        <w:jc w:val="both"/>
      </w:pPr>
      <w:r>
        <w:t xml:space="preserve">  Важнейшими целевыми индикаторами/показателями, позволяющими наиболее полно и достоверно оценить степень достижения цели программы, являются нижеследующие:</w:t>
      </w:r>
    </w:p>
    <w:p w:rsidR="00765B58" w:rsidRDefault="00765B58" w:rsidP="00765B58">
      <w:pPr>
        <w:jc w:val="center"/>
        <w:rPr>
          <w:b/>
          <w:color w:val="000000"/>
          <w:spacing w:val="-4"/>
          <w:sz w:val="20"/>
          <w:szCs w:val="20"/>
          <w:highlight w:val="white"/>
        </w:rPr>
      </w:pPr>
      <w:r>
        <w:rPr>
          <w:b/>
          <w:color w:val="000000"/>
          <w:spacing w:val="-4"/>
          <w:sz w:val="20"/>
          <w:szCs w:val="20"/>
          <w:highlight w:val="white"/>
        </w:rPr>
        <w:t xml:space="preserve">                                                                            </w:t>
      </w: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35"/>
        <w:gridCol w:w="2912"/>
        <w:gridCol w:w="1067"/>
        <w:gridCol w:w="961"/>
        <w:gridCol w:w="714"/>
        <w:gridCol w:w="706"/>
        <w:gridCol w:w="721"/>
        <w:gridCol w:w="721"/>
        <w:gridCol w:w="677"/>
        <w:gridCol w:w="706"/>
      </w:tblGrid>
      <w:tr w:rsidR="00765B58" w:rsidTr="00EE311E">
        <w:trPr>
          <w:trHeight w:val="2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highlight w:val="white"/>
                <w:lang w:val="en-US"/>
              </w:rPr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 xml:space="preserve"> 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rFonts w:cs="Times New Roman CYR"/>
                <w:color w:val="000000"/>
                <w:spacing w:val="-4"/>
                <w:highlight w:val="white"/>
              </w:rPr>
            </w:pPr>
            <w:r>
              <w:rPr>
                <w:rFonts w:cs="Times New Roman CYR"/>
                <w:color w:val="000000"/>
                <w:spacing w:val="-4"/>
                <w:sz w:val="22"/>
                <w:szCs w:val="22"/>
                <w:highlight w:val="white"/>
              </w:rPr>
              <w:t>Единица</w:t>
            </w:r>
          </w:p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cs="Times New Roman CYR"/>
                <w:color w:val="000000"/>
                <w:spacing w:val="-4"/>
                <w:sz w:val="22"/>
                <w:szCs w:val="22"/>
                <w:highlight w:val="white"/>
              </w:rPr>
              <w:t>измере-ния</w:t>
            </w:r>
            <w:proofErr w:type="spellEnd"/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Базо-вое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765B58" w:rsidTr="00EE311E">
        <w:trPr>
          <w:trHeight w:val="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Default="00765B58" w:rsidP="00EE311E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Default="00765B58" w:rsidP="00EE311E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Default="00765B58" w:rsidP="00EE311E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Default="00765B58" w:rsidP="00EE311E">
            <w:pPr>
              <w:widowContro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2016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2017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2018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2020</w:t>
            </w:r>
          </w:p>
        </w:tc>
      </w:tr>
      <w:tr w:rsidR="00765B58" w:rsidTr="00EE311E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color w:val="000000"/>
                <w:spacing w:val="-4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75</w:t>
            </w:r>
          </w:p>
        </w:tc>
      </w:tr>
      <w:tr w:rsidR="00765B58" w:rsidTr="00EE311E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-4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</w:pPr>
            <w:r>
              <w:t xml:space="preserve">Количество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jc w:val="center"/>
            </w:pPr>
            <w:r>
              <w:t>732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842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850</w:t>
            </w:r>
          </w:p>
        </w:tc>
      </w:tr>
      <w:tr w:rsidR="00765B58" w:rsidTr="00EE311E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-4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r>
              <w:t xml:space="preserve">Количество предприятий,  предоставляющих туристские услуги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8</w:t>
            </w:r>
          </w:p>
        </w:tc>
      </w:tr>
      <w:tr w:rsidR="00765B58" w:rsidTr="00EE311E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-4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</w:pPr>
            <w:r>
              <w:t>Совокупный  номерной фонд коллективных средств размещения (КСР) (гостиницы, мотели, базы отдыха и т.п.)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142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154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154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166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166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166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166</w:t>
            </w:r>
          </w:p>
        </w:tc>
      </w:tr>
      <w:tr w:rsidR="00765B58" w:rsidTr="00EE311E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  <w:rPr>
                <w:color w:val="000000"/>
                <w:spacing w:val="-4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-4"/>
                <w:sz w:val="28"/>
                <w:szCs w:val="28"/>
                <w:highlight w:val="white"/>
              </w:rPr>
              <w:t xml:space="preserve">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</w:pPr>
            <w:r>
              <w:t>Коэффициент загрузки КСР (средний)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right="57"/>
              <w:jc w:val="center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31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B58" w:rsidRDefault="00765B58" w:rsidP="00EE311E">
            <w:pPr>
              <w:ind w:left="57" w:right="57"/>
              <w:jc w:val="center"/>
            </w:pPr>
            <w:r>
              <w:t>35</w:t>
            </w:r>
          </w:p>
        </w:tc>
      </w:tr>
    </w:tbl>
    <w:p w:rsidR="00765B58" w:rsidRDefault="00765B58" w:rsidP="00765B58">
      <w:pPr>
        <w:ind w:left="540"/>
        <w:jc w:val="both"/>
      </w:pPr>
    </w:p>
    <w:p w:rsidR="00765B58" w:rsidRDefault="00765B58" w:rsidP="00765B58">
      <w:pPr>
        <w:jc w:val="both"/>
        <w:rPr>
          <w:rFonts w:cs="Times New Roman CYR"/>
        </w:rPr>
      </w:pPr>
      <w:r>
        <w:rPr>
          <w:sz w:val="28"/>
          <w:szCs w:val="28"/>
        </w:rPr>
        <w:t xml:space="preserve">      </w:t>
      </w:r>
      <w:r>
        <w:rPr>
          <w:rFonts w:cs="Times New Roman CYR"/>
        </w:rPr>
        <w:t xml:space="preserve">За время реализации программы ожидается устойчивое развитие культуры и туризма, что </w:t>
      </w:r>
      <w:r>
        <w:rPr>
          <w:kern w:val="1"/>
        </w:rPr>
        <w:t xml:space="preserve">характеризуется ростом количественных показателей и качественной оценкой: </w:t>
      </w:r>
      <w:r>
        <w:rPr>
          <w:rFonts w:cs="Times New Roman CYR"/>
        </w:rPr>
        <w:t xml:space="preserve">увеличение до 75 единиц количества </w:t>
      </w:r>
      <w:proofErr w:type="spellStart"/>
      <w:r>
        <w:rPr>
          <w:rFonts w:cs="Times New Roman CYR"/>
        </w:rPr>
        <w:t>культурно-досуговых</w:t>
      </w:r>
      <w:proofErr w:type="spellEnd"/>
      <w:r>
        <w:rPr>
          <w:rFonts w:cs="Times New Roman CYR"/>
        </w:rPr>
        <w:t xml:space="preserve"> объединений, до 850 человек возрастет количество участников этих формирований; </w:t>
      </w:r>
      <w:proofErr w:type="gramStart"/>
      <w:r>
        <w:rPr>
          <w:rFonts w:cs="Times New Roman CYR"/>
        </w:rPr>
        <w:t xml:space="preserve">на 24 к/места возрастет совокупный номерной фонд КСР, загрузка коллективных средств размещения вырастет до 35%, количество предприятий, оказывающих </w:t>
      </w:r>
      <w:proofErr w:type="spellStart"/>
      <w:r>
        <w:rPr>
          <w:rFonts w:cs="Times New Roman CYR"/>
        </w:rPr>
        <w:t>туруслуги</w:t>
      </w:r>
      <w:proofErr w:type="spellEnd"/>
      <w:r>
        <w:rPr>
          <w:rFonts w:cs="Times New Roman CYR"/>
        </w:rPr>
        <w:t>, возрастет на 2 единицы, общее количество туристов и экскурсантов значительно вырастет.</w:t>
      </w:r>
      <w:proofErr w:type="gramEnd"/>
    </w:p>
    <w:p w:rsidR="00765B58" w:rsidRDefault="00765B58" w:rsidP="00765B58">
      <w:pPr>
        <w:jc w:val="both"/>
        <w:rPr>
          <w:kern w:val="1"/>
          <w:sz w:val="28"/>
          <w:szCs w:val="28"/>
        </w:rPr>
      </w:pPr>
      <w:r>
        <w:rPr>
          <w:rFonts w:cs="Times New Roman CYR"/>
        </w:rPr>
        <w:t xml:space="preserve">Посредством реализации программы будет создано единое культурно-туристское пространство, </w:t>
      </w:r>
      <w:r>
        <w:rPr>
          <w:kern w:val="1"/>
        </w:rPr>
        <w:t xml:space="preserve">обеспечен доступ граждан к культурным ценностям, реализации их творческого потенциала, </w:t>
      </w:r>
      <w:r>
        <w:rPr>
          <w:rFonts w:cs="Times New Roman CYR"/>
        </w:rPr>
        <w:t xml:space="preserve">в том числе и по возрождению национальных традиций, традиционных промыслов и ремесел, сформирован привлекательный имидж Веретейского сельского поселения, увеличен вклад </w:t>
      </w:r>
      <w:r>
        <w:rPr>
          <w:kern w:val="1"/>
        </w:rPr>
        <w:t>туристской индустрии в  социально-экономическое развитие Веретейского сельского поселения</w:t>
      </w:r>
      <w:r>
        <w:rPr>
          <w:kern w:val="1"/>
          <w:sz w:val="28"/>
          <w:szCs w:val="28"/>
        </w:rPr>
        <w:t xml:space="preserve">. </w:t>
      </w:r>
    </w:p>
    <w:p w:rsidR="00765B58" w:rsidRDefault="00765B58" w:rsidP="00765B58">
      <w:pPr>
        <w:jc w:val="both"/>
        <w:rPr>
          <w:kern w:val="1"/>
        </w:rPr>
      </w:pPr>
    </w:p>
    <w:p w:rsidR="00765B58" w:rsidRDefault="00765B58" w:rsidP="00765B58">
      <w:pPr>
        <w:ind w:firstLine="708"/>
        <w:jc w:val="center"/>
        <w:rPr>
          <w:rFonts w:cs="Times New Roman CYR"/>
          <w:b/>
        </w:rPr>
      </w:pPr>
      <w:r>
        <w:rPr>
          <w:rFonts w:cs="Times New Roman CYR"/>
          <w:b/>
          <w:bCs/>
          <w:caps/>
        </w:rPr>
        <w:lastRenderedPageBreak/>
        <w:t xml:space="preserve">5. </w:t>
      </w:r>
      <w:r>
        <w:rPr>
          <w:rFonts w:cs="Times New Roman CYR"/>
          <w:b/>
        </w:rPr>
        <w:t>Финансовое обеспечение реализации программы</w:t>
      </w:r>
    </w:p>
    <w:p w:rsidR="00765B58" w:rsidRDefault="00765B58" w:rsidP="00765B58">
      <w:pPr>
        <w:ind w:firstLine="708"/>
        <w:jc w:val="center"/>
        <w:rPr>
          <w:sz w:val="26"/>
          <w:szCs w:val="26"/>
        </w:rPr>
      </w:pPr>
    </w:p>
    <w:p w:rsidR="00765B58" w:rsidRDefault="00765B58" w:rsidP="00765B58">
      <w:pPr>
        <w:pStyle w:val="p28"/>
        <w:spacing w:before="0" w:beforeAutospacing="0" w:after="0" w:afterAutospacing="0"/>
        <w:rPr>
          <w:rFonts w:cs="Times New Roman CYR"/>
        </w:rPr>
      </w:pPr>
      <w:r>
        <w:rPr>
          <w:rFonts w:cs="Times New Roman CYR"/>
        </w:rPr>
        <w:t xml:space="preserve">     Объем финансовых ресурсов Программы составляет </w:t>
      </w:r>
      <w:r w:rsidRPr="00297DC9">
        <w:rPr>
          <w:b/>
        </w:rPr>
        <w:t>6 829 306</w:t>
      </w:r>
      <w:r>
        <w:rPr>
          <w:rFonts w:cs="Times New Roman CYR"/>
        </w:rPr>
        <w:t> рублей;</w:t>
      </w:r>
    </w:p>
    <w:p w:rsidR="00765B58" w:rsidRDefault="00765B58" w:rsidP="00765B58">
      <w:pPr>
        <w:pStyle w:val="p4"/>
        <w:spacing w:before="0" w:beforeAutospacing="0" w:after="0" w:afterAutospacing="0"/>
      </w:pPr>
      <w:r>
        <w:t>2015 </w:t>
      </w:r>
      <w:r>
        <w:rPr>
          <w:rFonts w:cs="Times New Roman CYR"/>
        </w:rPr>
        <w:t xml:space="preserve">год – </w:t>
      </w:r>
      <w:r>
        <w:t>1 142 000</w:t>
      </w:r>
      <w:r>
        <w:rPr>
          <w:rFonts w:cs="Times New Roman CYR"/>
        </w:rPr>
        <w:t xml:space="preserve"> рублей;</w:t>
      </w:r>
    </w:p>
    <w:p w:rsidR="00765B58" w:rsidRDefault="00765B58" w:rsidP="00765B58">
      <w:pPr>
        <w:pStyle w:val="p4"/>
        <w:spacing w:before="0" w:beforeAutospacing="0" w:after="0" w:afterAutospacing="0"/>
      </w:pPr>
      <w:r>
        <w:t>2016 </w:t>
      </w:r>
      <w:r>
        <w:rPr>
          <w:rFonts w:cs="Times New Roman CYR"/>
        </w:rPr>
        <w:t xml:space="preserve">год – </w:t>
      </w:r>
      <w:r>
        <w:t>1 367 306</w:t>
      </w:r>
      <w:r>
        <w:rPr>
          <w:rFonts w:cs="Times New Roman CYR"/>
        </w:rPr>
        <w:t xml:space="preserve"> рублей;</w:t>
      </w:r>
    </w:p>
    <w:p w:rsidR="00765B58" w:rsidRDefault="00765B58" w:rsidP="00765B58">
      <w:pPr>
        <w:pStyle w:val="p4"/>
        <w:spacing w:before="0" w:beforeAutospacing="0" w:after="0" w:afterAutospacing="0"/>
      </w:pPr>
      <w:r>
        <w:t>2017 </w:t>
      </w:r>
      <w:r>
        <w:rPr>
          <w:rFonts w:cs="Times New Roman CYR"/>
        </w:rPr>
        <w:t>год</w:t>
      </w:r>
      <w:r>
        <w:t> </w:t>
      </w:r>
      <w:r>
        <w:rPr>
          <w:rFonts w:cs="Times New Roman CYR"/>
          <w:b/>
          <w:bCs/>
        </w:rPr>
        <w:t>– 1 620</w:t>
      </w:r>
      <w:r>
        <w:t> </w:t>
      </w:r>
      <w:r w:rsidRPr="00912631">
        <w:rPr>
          <w:rFonts w:cs="Times New Roman CYR"/>
          <w:b/>
        </w:rPr>
        <w:t>000</w:t>
      </w:r>
      <w:r>
        <w:rPr>
          <w:rFonts w:cs="Times New Roman CYR"/>
        </w:rPr>
        <w:t xml:space="preserve"> рублей;</w:t>
      </w:r>
    </w:p>
    <w:p w:rsidR="00765B58" w:rsidRDefault="00765B58" w:rsidP="00765B58">
      <w:pPr>
        <w:pStyle w:val="p4"/>
        <w:spacing w:before="0" w:beforeAutospacing="0" w:after="0" w:afterAutospacing="0"/>
      </w:pPr>
      <w:r>
        <w:t>2018 </w:t>
      </w:r>
      <w:r>
        <w:rPr>
          <w:rFonts w:cs="Times New Roman CYR"/>
        </w:rPr>
        <w:t>год – 900 000 рублей;</w:t>
      </w:r>
    </w:p>
    <w:p w:rsidR="00765B58" w:rsidRDefault="00765B58" w:rsidP="00765B58">
      <w:pPr>
        <w:pStyle w:val="p4"/>
        <w:spacing w:before="0" w:beforeAutospacing="0" w:after="0" w:afterAutospacing="0"/>
      </w:pPr>
      <w:r>
        <w:t>2019 </w:t>
      </w:r>
      <w:r>
        <w:rPr>
          <w:rFonts w:cs="Times New Roman CYR"/>
        </w:rPr>
        <w:t>год – 900 000 рублей;</w:t>
      </w:r>
    </w:p>
    <w:p w:rsidR="00765B58" w:rsidRDefault="00765B58" w:rsidP="00765B58">
      <w:pPr>
        <w:jc w:val="both"/>
        <w:rPr>
          <w:rFonts w:cs="Times New Roman CYR"/>
        </w:rPr>
      </w:pPr>
      <w:r>
        <w:t>2020</w:t>
      </w:r>
      <w:r>
        <w:rPr>
          <w:rFonts w:cs="Times New Roman CYR"/>
        </w:rPr>
        <w:t> год – 900 000 рублей</w:t>
      </w:r>
    </w:p>
    <w:p w:rsidR="00765B58" w:rsidRDefault="00765B58" w:rsidP="00765B58">
      <w:pPr>
        <w:ind w:left="540"/>
        <w:jc w:val="both"/>
        <w:rPr>
          <w:rFonts w:cs="Times New Roman CYR"/>
        </w:rPr>
      </w:pPr>
      <w:r>
        <w:rPr>
          <w:rFonts w:cs="Times New Roman CYR"/>
        </w:rPr>
        <w:t xml:space="preserve">     Подробная информация о ресурсном обеспечении Программы в разрезе источников финансирования и годам реализации представлена в таблице: </w:t>
      </w:r>
    </w:p>
    <w:p w:rsidR="00765B58" w:rsidRDefault="00765B58" w:rsidP="00765B58">
      <w:pPr>
        <w:tabs>
          <w:tab w:val="left" w:pos="8055"/>
        </w:tabs>
        <w:ind w:firstLine="540"/>
        <w:jc w:val="both"/>
        <w:rPr>
          <w:rFonts w:cs="Times New Roman CYR"/>
          <w:b/>
          <w:sz w:val="22"/>
          <w:szCs w:val="22"/>
        </w:rPr>
      </w:pPr>
      <w:r>
        <w:rPr>
          <w:rFonts w:cs="Times New Roman CYR"/>
        </w:rPr>
        <w:tab/>
      </w:r>
      <w:r>
        <w:rPr>
          <w:rFonts w:cs="Times New Roman CYR"/>
          <w:sz w:val="28"/>
          <w:szCs w:val="28"/>
        </w:rPr>
        <w:t xml:space="preserve">         </w:t>
      </w:r>
    </w:p>
    <w:tbl>
      <w:tblPr>
        <w:tblW w:w="9713" w:type="dxa"/>
        <w:tblInd w:w="-34" w:type="dxa"/>
        <w:tblLook w:val="0000"/>
      </w:tblPr>
      <w:tblGrid>
        <w:gridCol w:w="1581"/>
        <w:gridCol w:w="1255"/>
        <w:gridCol w:w="1275"/>
        <w:gridCol w:w="1192"/>
        <w:gridCol w:w="1067"/>
        <w:gridCol w:w="1080"/>
        <w:gridCol w:w="1080"/>
        <w:gridCol w:w="1183"/>
      </w:tblGrid>
      <w:tr w:rsidR="00765B58" w:rsidTr="00EE311E">
        <w:trPr>
          <w:trHeight w:val="405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both"/>
            </w:pPr>
            <w:r>
              <w:t>Источник</w:t>
            </w:r>
          </w:p>
          <w:p w:rsidR="00765B58" w:rsidRDefault="00765B58" w:rsidP="00EE311E">
            <w:pPr>
              <w:jc w:val="both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765B58" w:rsidRDefault="00765B58" w:rsidP="00EE311E">
            <w:pPr>
              <w:jc w:val="both"/>
              <w:rPr>
                <w:sz w:val="26"/>
                <w:szCs w:val="26"/>
              </w:rPr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Объем финансирования (руб.)</w:t>
            </w:r>
          </w:p>
        </w:tc>
      </w:tr>
      <w:tr w:rsidR="00765B58" w:rsidTr="00EE311E">
        <w:trPr>
          <w:trHeight w:val="2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Default="00765B58" w:rsidP="00EE311E">
            <w:pPr>
              <w:widowControl w:val="0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both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2016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2017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2020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Итого</w:t>
            </w:r>
          </w:p>
        </w:tc>
      </w:tr>
      <w:tr w:rsidR="00765B58" w:rsidTr="00EE311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both"/>
            </w:pPr>
            <w: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297DC9" w:rsidRDefault="00765B58" w:rsidP="00EE311E">
            <w:pPr>
              <w:jc w:val="center"/>
              <w:rPr>
                <w:b/>
              </w:rPr>
            </w:pPr>
            <w:r w:rsidRPr="00297DC9">
              <w:rPr>
                <w:b/>
              </w:rPr>
              <w:t>0</w:t>
            </w:r>
          </w:p>
        </w:tc>
      </w:tr>
      <w:tr w:rsidR="00765B58" w:rsidTr="00EE311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both"/>
            </w:pPr>
            <w:r>
              <w:t>областной бюджет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167 306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297DC9" w:rsidRDefault="00765B58" w:rsidP="00EE311E">
            <w:pPr>
              <w:widowControl w:val="0"/>
              <w:jc w:val="center"/>
              <w:rPr>
                <w:rFonts w:eastAsia="SimSun"/>
                <w:b/>
                <w:kern w:val="1"/>
              </w:rPr>
            </w:pPr>
            <w:r w:rsidRPr="00297DC9">
              <w:rPr>
                <w:rFonts w:eastAsia="SimSun"/>
                <w:b/>
                <w:kern w:val="1"/>
              </w:rPr>
              <w:t>177 306</w:t>
            </w:r>
          </w:p>
        </w:tc>
      </w:tr>
      <w:tr w:rsidR="00765B58" w:rsidTr="00EE311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both"/>
            </w:pPr>
            <w:r>
              <w:t>местный бюджет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1 132 000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1 200 000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  <w:rPr>
                <w:b/>
              </w:rPr>
            </w:pPr>
            <w:r>
              <w:rPr>
                <w:b/>
              </w:rPr>
              <w:t>1 620 000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900 000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900 000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900 000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297DC9" w:rsidRDefault="00765B58" w:rsidP="00EE311E">
            <w:pPr>
              <w:jc w:val="center"/>
              <w:rPr>
                <w:b/>
              </w:rPr>
            </w:pPr>
            <w:r w:rsidRPr="00297DC9">
              <w:rPr>
                <w:b/>
              </w:rPr>
              <w:t>6 652 000</w:t>
            </w:r>
          </w:p>
        </w:tc>
      </w:tr>
      <w:tr w:rsidR="00765B58" w:rsidTr="00EE311E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1 142 000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1 367 306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  <w:rPr>
                <w:b/>
              </w:rPr>
            </w:pPr>
            <w:r>
              <w:rPr>
                <w:b/>
              </w:rPr>
              <w:t>1 620 000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900 000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900 000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Default="00765B58" w:rsidP="00EE311E">
            <w:pPr>
              <w:jc w:val="center"/>
            </w:pPr>
            <w:r>
              <w:t>900 000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297DC9" w:rsidRDefault="00765B58" w:rsidP="00EE311E">
            <w:pPr>
              <w:jc w:val="center"/>
              <w:rPr>
                <w:b/>
              </w:rPr>
            </w:pPr>
            <w:r w:rsidRPr="00297DC9">
              <w:rPr>
                <w:b/>
              </w:rPr>
              <w:t>6 829 306</w:t>
            </w:r>
          </w:p>
        </w:tc>
      </w:tr>
    </w:tbl>
    <w:p w:rsidR="00765B58" w:rsidRDefault="00765B58" w:rsidP="00765B58">
      <w:pPr>
        <w:ind w:left="540"/>
        <w:jc w:val="both"/>
        <w:rPr>
          <w:rFonts w:cs="Times New Roman CYR"/>
          <w:sz w:val="28"/>
          <w:szCs w:val="28"/>
        </w:rPr>
      </w:pPr>
    </w:p>
    <w:p w:rsidR="00765B58" w:rsidRDefault="00765B58" w:rsidP="00765B58">
      <w:pPr>
        <w:ind w:left="540"/>
        <w:jc w:val="both"/>
        <w:rPr>
          <w:rFonts w:cs="Times New Roman CYR"/>
        </w:rPr>
      </w:pPr>
      <w:r>
        <w:rPr>
          <w:rFonts w:cs="Times New Roman CYR"/>
        </w:rPr>
        <w:t xml:space="preserve">Информация о ресурсном обеспечении Программы в разрезе основных мероприятий, источников финансирования и годам реализации представлена в таблице: </w:t>
      </w:r>
    </w:p>
    <w:p w:rsidR="00765B58" w:rsidRDefault="00765B58" w:rsidP="00765B58">
      <w:pPr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715" w:type="dxa"/>
        <w:tblInd w:w="-684" w:type="dxa"/>
        <w:tblLayout w:type="fixed"/>
        <w:tblLook w:val="0000"/>
      </w:tblPr>
      <w:tblGrid>
        <w:gridCol w:w="540"/>
        <w:gridCol w:w="2522"/>
        <w:gridCol w:w="1132"/>
        <w:gridCol w:w="1134"/>
        <w:gridCol w:w="993"/>
        <w:gridCol w:w="992"/>
        <w:gridCol w:w="992"/>
        <w:gridCol w:w="851"/>
        <w:gridCol w:w="850"/>
        <w:gridCol w:w="709"/>
      </w:tblGrid>
      <w:tr w:rsidR="00765B58" w:rsidRPr="00CF3655" w:rsidTr="00EE311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№</w:t>
            </w:r>
          </w:p>
          <w:p w:rsidR="00765B58" w:rsidRPr="00CF3655" w:rsidRDefault="00765B58" w:rsidP="00EE311E">
            <w:pPr>
              <w:rPr>
                <w:rFonts w:cs="Times New Roman CYR"/>
              </w:rPr>
            </w:pPr>
            <w:proofErr w:type="spellStart"/>
            <w:proofErr w:type="gramStart"/>
            <w:r w:rsidRPr="00CF3655">
              <w:rPr>
                <w:rFonts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CF3655">
              <w:rPr>
                <w:rFonts w:cs="Times New Roman CYR"/>
                <w:sz w:val="22"/>
                <w:szCs w:val="22"/>
              </w:rPr>
              <w:t>/</w:t>
            </w:r>
            <w:proofErr w:type="spellStart"/>
            <w:r w:rsidRPr="00CF3655">
              <w:rPr>
                <w:rFonts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 xml:space="preserve">Наименование </w:t>
            </w:r>
          </w:p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CF3655">
              <w:rPr>
                <w:rFonts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CF3655">
              <w:rPr>
                <w:rFonts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CF3655">
              <w:rPr>
                <w:rFonts w:cs="Times New Roman CYR"/>
                <w:sz w:val="22"/>
                <w:szCs w:val="22"/>
              </w:rPr>
              <w:t>, всего</w:t>
            </w:r>
          </w:p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(руб.)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В том числе</w:t>
            </w:r>
          </w:p>
        </w:tc>
      </w:tr>
      <w:tr w:rsidR="00765B58" w:rsidRPr="00CF3655" w:rsidTr="00EE311E">
        <w:trPr>
          <w:trHeight w:val="2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  <w:rPr>
                <w:rFonts w:cs="Times New Roman CYR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  <w:rPr>
                <w:rFonts w:cs="Times New Roman CYR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  <w:rPr>
                <w:rFonts w:cs="Times New Roman CY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  <w:rPr>
                <w:rFonts w:cs="Times New Roman CY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2020</w:t>
            </w:r>
          </w:p>
        </w:tc>
      </w:tr>
      <w:tr w:rsidR="00765B58" w:rsidRPr="00CF3655" w:rsidTr="00EE31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rFonts w:cs="Times New Roman CYR"/>
              </w:rPr>
            </w:pPr>
            <w:r w:rsidRPr="00CF3655">
              <w:rPr>
                <w:rFonts w:cs="Times New Roman CYR"/>
                <w:sz w:val="22"/>
                <w:szCs w:val="22"/>
              </w:rPr>
              <w:t>10</w:t>
            </w:r>
          </w:p>
        </w:tc>
      </w:tr>
      <w:tr w:rsidR="00765B58" w:rsidRPr="00CF3655" w:rsidTr="00EE311E">
        <w:trPr>
          <w:trHeight w:val="11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ind w:left="57" w:right="57"/>
            </w:pPr>
            <w:r w:rsidRPr="00CF3655">
              <w:rPr>
                <w:sz w:val="22"/>
                <w:szCs w:val="22"/>
              </w:rPr>
              <w:t>Основное мероприятие 1.1Создание условий для стимулирования населения к творческой самореализации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41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rPr>
                <w:rFonts w:ascii="Calibri" w:hAnsi="Calibri" w:cs="Calibri"/>
              </w:rPr>
            </w:pPr>
            <w:r w:rsidRPr="00CF3655">
              <w:rPr>
                <w:sz w:val="22"/>
                <w:szCs w:val="22"/>
              </w:rPr>
              <w:t xml:space="preserve">Основное мероприятие 1.2 Развитие и совершенствование системы массовых </w:t>
            </w:r>
            <w:proofErr w:type="spellStart"/>
            <w:r w:rsidRPr="00CF3655">
              <w:rPr>
                <w:sz w:val="22"/>
                <w:szCs w:val="22"/>
              </w:rPr>
              <w:t>культурно-досуговых</w:t>
            </w:r>
            <w:proofErr w:type="spellEnd"/>
            <w:r w:rsidRPr="00CF3655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областной бюджет</w:t>
            </w:r>
          </w:p>
          <w:p w:rsidR="00765B58" w:rsidRPr="00CF3655" w:rsidRDefault="00765B58" w:rsidP="00EE31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</w:tr>
      <w:tr w:rsidR="00765B58" w:rsidRPr="00CF3655" w:rsidTr="00EE311E">
        <w:trPr>
          <w:trHeight w:val="124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775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252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373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265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19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rPr>
                <w:rFonts w:ascii="Calibri" w:hAnsi="Calibri" w:cs="Calibri"/>
              </w:rPr>
            </w:pPr>
            <w:r w:rsidRPr="00CF3655">
              <w:rPr>
                <w:sz w:val="22"/>
                <w:szCs w:val="22"/>
              </w:rPr>
              <w:t xml:space="preserve">Основное мероприятие 1.3 Развитие </w:t>
            </w:r>
            <w:proofErr w:type="spellStart"/>
            <w:r w:rsidRPr="00CF3655">
              <w:rPr>
                <w:sz w:val="22"/>
                <w:szCs w:val="22"/>
              </w:rPr>
              <w:t>ифраструктуры</w:t>
            </w:r>
            <w:proofErr w:type="spellEnd"/>
            <w:r w:rsidRPr="00CF3655">
              <w:rPr>
                <w:sz w:val="22"/>
                <w:szCs w:val="22"/>
              </w:rPr>
              <w:t xml:space="preserve"> и укрепление материально-технической базы учреждений культуры</w:t>
            </w:r>
            <w:r w:rsidRPr="00CF36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224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517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915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7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rPr>
                <w:rFonts w:ascii="Calibri" w:hAnsi="Calibri" w:cs="Calibri"/>
              </w:rPr>
            </w:pPr>
            <w:r w:rsidRPr="00CF3655">
              <w:rPr>
                <w:sz w:val="22"/>
                <w:szCs w:val="22"/>
              </w:rPr>
              <w:t>Основное мероприятие 1.4 Библиотечное и музейное дело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298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49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15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keepNext/>
              <w:keepLines/>
              <w:ind w:left="57" w:right="57"/>
              <w:rPr>
                <w:rFonts w:cs="Times New Roman CYR"/>
                <w:color w:val="000000"/>
                <w:spacing w:val="-4"/>
                <w:highlight w:val="white"/>
              </w:rPr>
            </w:pPr>
            <w:r w:rsidRPr="00CF3655">
              <w:rPr>
                <w:color w:val="000000"/>
                <w:sz w:val="22"/>
                <w:szCs w:val="22"/>
              </w:rPr>
              <w:t>Основное мероприятие 1.5 Аналитическо-информационное обеспечение и издательская деятельность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10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ind w:left="57" w:right="57"/>
            </w:pPr>
            <w:r w:rsidRPr="00CF3655">
              <w:rPr>
                <w:rFonts w:cs="Times New Roman CYR"/>
                <w:bCs/>
                <w:sz w:val="22"/>
                <w:szCs w:val="22"/>
              </w:rPr>
              <w:t xml:space="preserve">Основное мероприятие 2.1  Формирование системы управления развитием туризма </w:t>
            </w:r>
            <w:r w:rsidRPr="00CF36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</w:tr>
      <w:tr w:rsidR="00765B58" w:rsidRPr="00CF3655" w:rsidTr="00EE311E">
        <w:trPr>
          <w:trHeight w:val="1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Основное мероприятие Развитие инфраструктуры и материальной базы туризма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916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510</w:t>
            </w:r>
          </w:p>
          <w:p w:rsidR="00765B58" w:rsidRPr="00CF3655" w:rsidRDefault="00765B58" w:rsidP="00EE31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970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500</w:t>
            </w:r>
          </w:p>
          <w:p w:rsidR="00765B58" w:rsidRPr="00CF3655" w:rsidRDefault="00765B58" w:rsidP="00EE311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210 000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298 000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200 000</w:t>
            </w:r>
          </w:p>
        </w:tc>
      </w:tr>
      <w:tr w:rsidR="00765B58" w:rsidRPr="00CF3655" w:rsidTr="00EE311E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Основное мероприятие Рекламно-информационное обеспечение туристской деятельности</w:t>
            </w:r>
          </w:p>
          <w:p w:rsidR="00765B58" w:rsidRPr="00CF3655" w:rsidRDefault="00765B58" w:rsidP="00EE311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</w:tr>
      <w:tr w:rsidR="00765B58" w:rsidRPr="00CF3655" w:rsidTr="00EE311E">
        <w:trPr>
          <w:trHeight w:val="6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514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559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189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113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10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Основное мероприятие Формирование  привлекательного туристского имиджа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931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941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10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Основное мероприятие</w:t>
            </w:r>
          </w:p>
          <w:p w:rsidR="00765B58" w:rsidRPr="00CF3655" w:rsidRDefault="00765B58" w:rsidP="00EE311E">
            <w:r w:rsidRPr="00CF3655">
              <w:rPr>
                <w:sz w:val="22"/>
                <w:szCs w:val="22"/>
              </w:rPr>
              <w:t>Подготовка кадров в сфере туризма</w:t>
            </w:r>
          </w:p>
          <w:p w:rsidR="00765B58" w:rsidRPr="00CF3655" w:rsidRDefault="00765B58" w:rsidP="00EE311E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F3655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</w:tr>
      <w:tr w:rsidR="00765B58" w:rsidRPr="00CF3655" w:rsidTr="00EE311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/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r w:rsidRPr="00CF365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widowControl w:val="0"/>
              <w:jc w:val="center"/>
              <w:rPr>
                <w:rFonts w:eastAsia="SimSun"/>
                <w:kern w:val="1"/>
              </w:rPr>
            </w:pPr>
            <w:r w:rsidRPr="00CF3655">
              <w:rPr>
                <w:rFonts w:eastAsia="SimSun"/>
                <w:kern w:val="1"/>
                <w:sz w:val="22"/>
                <w:szCs w:val="22"/>
              </w:rPr>
              <w:t>177</w:t>
            </w:r>
            <w:r>
              <w:rPr>
                <w:rFonts w:eastAsia="SimSun"/>
                <w:kern w:val="1"/>
                <w:sz w:val="22"/>
                <w:szCs w:val="22"/>
              </w:rPr>
              <w:t xml:space="preserve"> </w:t>
            </w:r>
            <w:r w:rsidRPr="00CF3655">
              <w:rPr>
                <w:rFonts w:eastAsia="SimSun"/>
                <w:kern w:val="1"/>
                <w:sz w:val="22"/>
                <w:szCs w:val="22"/>
              </w:rPr>
              <w:t>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 xml:space="preserve"> </w:t>
            </w:r>
            <w:r w:rsidRPr="00CF3655">
              <w:rPr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0</w:t>
            </w:r>
          </w:p>
        </w:tc>
      </w:tr>
      <w:tr w:rsidR="00765B58" w:rsidRPr="00CF3655" w:rsidTr="00EE311E">
        <w:trPr>
          <w:trHeight w:val="4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6 507 000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1 132 000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1 200 000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1 475 000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900 000</w:t>
            </w:r>
          </w:p>
        </w:tc>
      </w:tr>
      <w:tr w:rsidR="00765B58" w:rsidRPr="00CF3655" w:rsidTr="00EE311E">
        <w:trPr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B58" w:rsidRPr="00CF3655" w:rsidRDefault="00765B58" w:rsidP="00EE311E">
            <w:pPr>
              <w:widowControl w:val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6 684 306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1 142 000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1 367 306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  <w:rPr>
                <w:b/>
              </w:rPr>
            </w:pPr>
            <w:r w:rsidRPr="00CF3655">
              <w:rPr>
                <w:b/>
                <w:sz w:val="22"/>
                <w:szCs w:val="22"/>
              </w:rPr>
              <w:t>1 475 000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900 000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B58" w:rsidRPr="00CF3655" w:rsidRDefault="00765B58" w:rsidP="00EE311E">
            <w:pPr>
              <w:jc w:val="center"/>
            </w:pPr>
            <w:r w:rsidRPr="00CF3655">
              <w:rPr>
                <w:sz w:val="22"/>
                <w:szCs w:val="22"/>
              </w:rPr>
              <w:t>900 000</w:t>
            </w:r>
          </w:p>
        </w:tc>
      </w:tr>
    </w:tbl>
    <w:p w:rsidR="00765B58" w:rsidRDefault="00765B58" w:rsidP="00765B58"/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6. Характеристика текущего состояния культуры и туризма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Веретейском</w:t>
      </w:r>
      <w:proofErr w:type="spellEnd"/>
      <w:r>
        <w:rPr>
          <w:b/>
        </w:rPr>
        <w:t xml:space="preserve"> сельском поселении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Реализация муниципальной программы осуществляется в двух значимых сферах, которые тесно переплетаются между собой,  -  культуре  и туризме.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Важным фактором социально-экономического и политического развития российского общества является стабильное развитие  культуры, сохранение культурных и нравственных ценностей, межрегиональных и межнациональных культурных связей.  Муниципальная  политика в сфере культуры направлена на создание условий, в которых активно формируется культурный и духовный потенциал личности  и возможна его максимально полная реализация.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В </w:t>
      </w:r>
      <w:proofErr w:type="spellStart"/>
      <w:r>
        <w:t>Веретейском</w:t>
      </w:r>
      <w:proofErr w:type="spellEnd"/>
      <w:r>
        <w:t xml:space="preserve"> сельском поселении   имеется значительный культурный ресурс:  объекты культурного наследия,  музеи, библиотеки, </w:t>
      </w:r>
      <w:proofErr w:type="spellStart"/>
      <w:r>
        <w:t>культурно-досуговые</w:t>
      </w:r>
      <w:proofErr w:type="spellEnd"/>
      <w:r>
        <w:t xml:space="preserve"> учреждения, квалифицированные кадры.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lastRenderedPageBreak/>
        <w:t xml:space="preserve">     Основой инфраструктуры культуры в </w:t>
      </w:r>
      <w:proofErr w:type="spellStart"/>
      <w:r>
        <w:t>Веретейском</w:t>
      </w:r>
      <w:proofErr w:type="spellEnd"/>
      <w:r>
        <w:t xml:space="preserve"> сельском поселении являются Дома культуры, расположенные  в поселке  Борок, селах  </w:t>
      </w:r>
      <w:proofErr w:type="spellStart"/>
      <w:r>
        <w:t>Веретея</w:t>
      </w:r>
      <w:proofErr w:type="spellEnd"/>
      <w:r>
        <w:t xml:space="preserve">, Лацкое,  </w:t>
      </w:r>
      <w:proofErr w:type="spellStart"/>
      <w:r>
        <w:t>Марьино</w:t>
      </w:r>
      <w:proofErr w:type="spellEnd"/>
      <w:r>
        <w:t xml:space="preserve"> -  структурные подразделения МУК Некоузский </w:t>
      </w:r>
      <w:proofErr w:type="spellStart"/>
      <w:r>
        <w:t>культурно-досуговый</w:t>
      </w:r>
      <w:proofErr w:type="spellEnd"/>
      <w:r>
        <w:t xml:space="preserve"> центр. В Борковском ДК проходят занятия  МОУ ДОД «Детская музыкальная школа».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Библиотечное обслуживание осуществляют филиалы МУК </w:t>
      </w:r>
      <w:proofErr w:type="spellStart"/>
      <w:r>
        <w:t>Некоузская</w:t>
      </w:r>
      <w:proofErr w:type="spellEnd"/>
      <w:r>
        <w:t xml:space="preserve"> Центральная библиотека им. Сухово-Кобылина и художественная библиотека научной библиотеки ИБВВ РАН имени И.Д.Папанина.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Музейный отдел ИБВВ РАН представлен 4  музеями – мемориальный дом-музей Н.А.Морозова, музей И.Д.Папанина, музей Ф.Г.Солнцева, музей природы, филиалом которого является музей-коллекция рыб в Ихтиологическом корпусе. Историко-культурный центр «</w:t>
      </w:r>
      <w:proofErr w:type="spellStart"/>
      <w:r>
        <w:t>Молога</w:t>
      </w:r>
      <w:proofErr w:type="spellEnd"/>
      <w:r>
        <w:t xml:space="preserve">» в </w:t>
      </w:r>
      <w:proofErr w:type="spellStart"/>
      <w:r>
        <w:t>с</w:t>
      </w:r>
      <w:proofErr w:type="gramStart"/>
      <w:r>
        <w:t>.В</w:t>
      </w:r>
      <w:proofErr w:type="gramEnd"/>
      <w:r>
        <w:t>еретея</w:t>
      </w:r>
      <w:proofErr w:type="spellEnd"/>
      <w:r>
        <w:t xml:space="preserve">  также осуществляет экскурсионную деятельность.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 С января 2014г. в муниципальном образовании   началась  реализация  МЦП «Развитие культуры в </w:t>
      </w:r>
      <w:proofErr w:type="spellStart"/>
      <w:r>
        <w:t>Веретейском</w:t>
      </w:r>
      <w:proofErr w:type="spellEnd"/>
      <w:r>
        <w:t xml:space="preserve"> сельском поселении» на 2014-2016 годы. Можно с уверенностью сказать, что за истекший период накоплен положительный опыт взаимодействия  с  Комитетом культуры молодежной политики физкультуры и спорта Администрации </w:t>
      </w:r>
      <w:proofErr w:type="spellStart"/>
      <w:r>
        <w:t>Некоузского</w:t>
      </w:r>
      <w:proofErr w:type="spellEnd"/>
      <w:r>
        <w:t xml:space="preserve"> муниципального района. </w:t>
      </w:r>
      <w:r>
        <w:rPr>
          <w:b/>
        </w:rPr>
        <w:t xml:space="preserve"> </w:t>
      </w:r>
      <w:r>
        <w:t xml:space="preserve">Мероприятия, запланированные программой, выполнены.  Для  кружковой работы с детьми из многодетных и малообеспеченных семей приобретен расходный материал. </w:t>
      </w:r>
      <w:proofErr w:type="gramStart"/>
      <w:r>
        <w:t xml:space="preserve">В  соответствии с календарем проведены разнообразные праздничные мероприятия, в том числе и торжественное мероприятие, посвященное 120-летию со Дня рождения дважды Героя Советского Союза, контр-адмирала, основателя ИБВВ РАН  И.Д.Папанина,  краеведческие чтения  в рамках </w:t>
      </w:r>
      <w:proofErr w:type="spellStart"/>
      <w:r>
        <w:t>Мологской</w:t>
      </w:r>
      <w:proofErr w:type="spellEnd"/>
      <w:r>
        <w:t xml:space="preserve"> ярмарки;  обновлены  библиотечные фонды; отремонтирована  система  отопления  подвального помещения Борковского ДК,  заменены на пластиковые  13 окон </w:t>
      </w:r>
      <w:proofErr w:type="spellStart"/>
      <w:r>
        <w:t>Марьинского</w:t>
      </w:r>
      <w:proofErr w:type="spellEnd"/>
      <w:r>
        <w:t xml:space="preserve"> ДК. </w:t>
      </w:r>
      <w:proofErr w:type="gramEnd"/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Благодаря финансовой помощи депутата Ярославской областной Думы шестого созыва </w:t>
      </w:r>
      <w:proofErr w:type="spellStart"/>
      <w:r>
        <w:t>Тарасенкова</w:t>
      </w:r>
      <w:proofErr w:type="spellEnd"/>
      <w:r>
        <w:t xml:space="preserve"> А.Н. в Дома культуры, расположенные на территории Веретейского сельского  поселения,  приобретены красочные сценические костюмы.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Необходимо отметить, что в 2014 г. проходили ремонтные работы в </w:t>
      </w:r>
      <w:proofErr w:type="spellStart"/>
      <w:r>
        <w:t>Веретейском</w:t>
      </w:r>
      <w:proofErr w:type="spellEnd"/>
      <w:r>
        <w:t xml:space="preserve"> СДК: отремонтирована крыша, концертный зал, система отопления и т.п. Услуги культуры будут оказываться в более комфортных и безопасных условиях, но в то же время из-за проведения ремонтных работ значительно снизилось количество </w:t>
      </w:r>
      <w:proofErr w:type="spellStart"/>
      <w:r>
        <w:t>культурно-досуговых</w:t>
      </w:r>
      <w:proofErr w:type="spellEnd"/>
      <w:r>
        <w:t xml:space="preserve"> формирований и их численность. Данные  целевые показатели  2014г. остались невыполненными. Впоследствии ожидаем выхода  на показатели не ниже 2013г.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2014 год объявлен в Российской Федерации Годом культуры. В </w:t>
      </w:r>
      <w:proofErr w:type="spellStart"/>
      <w:r>
        <w:t>Веретейском</w:t>
      </w:r>
      <w:proofErr w:type="spellEnd"/>
      <w:r>
        <w:t xml:space="preserve"> сельском поселении проводился конкурс «Дом культуры года», победителем которого стал </w:t>
      </w:r>
      <w:proofErr w:type="spellStart"/>
      <w:r>
        <w:t>Марьинский</w:t>
      </w:r>
      <w:proofErr w:type="spellEnd"/>
      <w:r>
        <w:t xml:space="preserve"> Дом культуры.   25 декабря 2014г. состоялось торжественное закрытие Года культуры, в рамках мероприятия   был объявлен победитель конкурса «Дом культуры года». Кроме того, каждый клуб, приготовив </w:t>
      </w:r>
      <w:proofErr w:type="spellStart"/>
      <w:r>
        <w:t>видеопрезентацию</w:t>
      </w:r>
      <w:proofErr w:type="spellEnd"/>
      <w:r>
        <w:t xml:space="preserve"> «Визитная  карточка»,  презентовал свою деятельность коллегам и жюри. Наиболее полно и ярко отразил свою деятельность в «Визитной карточке» коллектив Борковского ДК, который и стал победителем в этой номинации.  </w:t>
      </w:r>
      <w:proofErr w:type="spellStart"/>
      <w:r>
        <w:t>Фотоотчеты</w:t>
      </w:r>
      <w:proofErr w:type="spellEnd"/>
      <w:r>
        <w:t xml:space="preserve"> о проведенных мероприятиях в Борковском ДК можно посмотреть в Интернете по адресу: </w:t>
      </w:r>
      <w:proofErr w:type="spellStart"/>
      <w:r>
        <w:rPr>
          <w:lang w:val="en-US"/>
        </w:rPr>
        <w:t>vk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borokdk</w:t>
      </w:r>
      <w:proofErr w:type="spellEnd"/>
      <w:r>
        <w:t>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Таким образом,  реализация данной  программы в 2014г.   способствовала развитию культуры в </w:t>
      </w:r>
      <w:proofErr w:type="spellStart"/>
      <w:r>
        <w:t>Веретейском</w:t>
      </w:r>
      <w:proofErr w:type="spellEnd"/>
      <w:r>
        <w:t xml:space="preserve"> сельском поселении. Необходимо и дальше продолжать ее реализацию  программным  методом  управления, который  концентрирует финансовые ресурсы на конкретных объектах и приоритетных направлениях развития  культуры,  позволяет сфере культуры стать полноценным и активным участником социально-экономических процессов, происходящих в </w:t>
      </w:r>
      <w:proofErr w:type="spellStart"/>
      <w:r>
        <w:t>Веретейском</w:t>
      </w:r>
      <w:proofErr w:type="spellEnd"/>
      <w:r>
        <w:t xml:space="preserve"> сельском поселении. </w:t>
      </w:r>
    </w:p>
    <w:p w:rsidR="00765B58" w:rsidRDefault="00765B58" w:rsidP="00765B58">
      <w:pPr>
        <w:jc w:val="both"/>
        <w:rPr>
          <w:kern w:val="1"/>
        </w:rPr>
      </w:pPr>
    </w:p>
    <w:p w:rsidR="00765B58" w:rsidRDefault="00765B58" w:rsidP="00765B58">
      <w:pPr>
        <w:spacing w:line="240" w:lineRule="atLeast"/>
        <w:jc w:val="both"/>
        <w:rPr>
          <w:rFonts w:cs="Times New Roman CYR"/>
        </w:rPr>
      </w:pPr>
      <w:r>
        <w:rPr>
          <w:kern w:val="1"/>
        </w:rPr>
        <w:t xml:space="preserve">    В  соответствии с  Федеральным законом от 06.10.2003 № 131-ФЗ «Об общих принципах организации местного самоуправления в Российской Федерации» органы местного самоуправления сельских поселений (ФЗ-281 от 25.12.2008г.) получили </w:t>
      </w:r>
      <w:r>
        <w:rPr>
          <w:kern w:val="1"/>
        </w:rPr>
        <w:lastRenderedPageBreak/>
        <w:t xml:space="preserve">полномочия по созданию условий для развития туризма в территориях, что позволяет им разрабатывать и принимать соответствующие муниципальные программы.  </w:t>
      </w:r>
      <w:r>
        <w:rPr>
          <w:rFonts w:cs="Times New Roman CYR"/>
        </w:rPr>
        <w:t>П</w:t>
      </w:r>
      <w:r>
        <w:t xml:space="preserve">риоритеты и цели государственной политики в сфере туризма   определены Стратегией развития туризма в Российской Федерации на период до 2020 года, принятой  31 мая  2014г.   </w:t>
      </w:r>
    </w:p>
    <w:p w:rsidR="00765B58" w:rsidRDefault="00765B58" w:rsidP="00765B58">
      <w:pPr>
        <w:jc w:val="both"/>
      </w:pPr>
      <w:r>
        <w:rPr>
          <w:kern w:val="1"/>
        </w:rPr>
        <w:t xml:space="preserve">      </w:t>
      </w:r>
      <w:proofErr w:type="gramStart"/>
      <w:r>
        <w:rPr>
          <w:kern w:val="1"/>
        </w:rPr>
        <w:t xml:space="preserve">Учитывая, что </w:t>
      </w:r>
      <w:proofErr w:type="spellStart"/>
      <w:r>
        <w:rPr>
          <w:kern w:val="1"/>
        </w:rPr>
        <w:t>Веретейское</w:t>
      </w:r>
      <w:proofErr w:type="spellEnd"/>
      <w:r>
        <w:rPr>
          <w:kern w:val="1"/>
        </w:rPr>
        <w:t xml:space="preserve"> сельское поселение обладает огромным туристским потенциалом, считаем, что в </w:t>
      </w:r>
      <w:r>
        <w:t xml:space="preserve"> дальнейшем туризм может приобрести значение перспективной отрасли местной экономики, так как развитие туризма приведет к созданию новых рабочих мест; увеличению доходов предприятий, учреждений, населения;  возрождению народных ремесел, обычаев, традиций;  развитию народного творчества; повышению  привлекательности территории; стимулированию развития смежных отраслей. </w:t>
      </w:r>
      <w:proofErr w:type="gramEnd"/>
    </w:p>
    <w:p w:rsidR="00765B58" w:rsidRDefault="00765B58" w:rsidP="00765B58">
      <w:pPr>
        <w:pStyle w:val="a3"/>
        <w:spacing w:before="0" w:beforeAutospacing="0" w:after="0" w:afterAutospacing="0" w:line="240" w:lineRule="atLeast"/>
        <w:ind w:right="-185"/>
        <w:jc w:val="both"/>
      </w:pPr>
      <w:proofErr w:type="gramStart"/>
      <w:r>
        <w:t xml:space="preserve">Перспективы для развития туризма в </w:t>
      </w:r>
      <w:proofErr w:type="spellStart"/>
      <w:r>
        <w:t>Веретейском</w:t>
      </w:r>
      <w:proofErr w:type="spellEnd"/>
      <w:r>
        <w:t xml:space="preserve"> сельском поселении определяются    имеющимися  в муниципальном образовании  ресурсами: выгодным географическим  положением (в т.ч. побережье Рыбинского водохранилища); разнообразным  природно-ресурсным  потенциалом (водохранилище, реки –  пляжный отдых  и рыбалка, болота, леса, богатые грибами, ягодами;  охота);  благоприятной  экологической  ситуацией; транспортной  доступностью  (автодороги);  развитым  гостиничным   хозяйством   – коллективные средства размещения готовы единовременно разместить 142 гостя;</w:t>
      </w:r>
      <w:proofErr w:type="gramEnd"/>
      <w:r>
        <w:t xml:space="preserve">  наличием    предприятий   питания различного формата;  богатым   историко-культурным   наследием (памятники православия: </w:t>
      </w:r>
      <w:r>
        <w:rPr>
          <w:rFonts w:eastAsia="Calibri"/>
          <w:lang w:eastAsia="en-US"/>
        </w:rPr>
        <w:t xml:space="preserve">церковь и некрополь в       с. Кузьма-Демьян;   церковь    Благовещения и некрополь в с. </w:t>
      </w:r>
      <w:proofErr w:type="spellStart"/>
      <w:r>
        <w:rPr>
          <w:rFonts w:eastAsia="Calibri"/>
          <w:lang w:eastAsia="en-US"/>
        </w:rPr>
        <w:t>Марьино</w:t>
      </w:r>
      <w:proofErr w:type="spellEnd"/>
      <w:r>
        <w:rPr>
          <w:rFonts w:eastAsia="Calibri"/>
          <w:lang w:eastAsia="en-US"/>
        </w:rPr>
        <w:t xml:space="preserve">;  церковь Святой Троицы и некрополь в </w:t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.В</w:t>
      </w:r>
      <w:proofErr w:type="gramEnd"/>
      <w:r>
        <w:rPr>
          <w:rFonts w:eastAsia="Calibri"/>
          <w:lang w:eastAsia="en-US"/>
        </w:rPr>
        <w:t>ерхне-Никульское</w:t>
      </w:r>
      <w:proofErr w:type="spellEnd"/>
      <w:r>
        <w:rPr>
          <w:rFonts w:eastAsia="Calibri"/>
          <w:lang w:eastAsia="en-US"/>
        </w:rPr>
        <w:t xml:space="preserve">; Ильинская и Покровская церкви в с. </w:t>
      </w:r>
      <w:proofErr w:type="spellStart"/>
      <w:r>
        <w:rPr>
          <w:rFonts w:eastAsia="Calibri"/>
          <w:lang w:eastAsia="en-US"/>
        </w:rPr>
        <w:t>Веретея</w:t>
      </w:r>
      <w:proofErr w:type="spellEnd"/>
      <w:r>
        <w:rPr>
          <w:rFonts w:eastAsia="Calibri"/>
          <w:lang w:eastAsia="en-US"/>
        </w:rPr>
        <w:t xml:space="preserve">,  церковь Вознесения, Поклонный Крест на месте расстрела священника   </w:t>
      </w:r>
      <w:proofErr w:type="spellStart"/>
      <w:r>
        <w:rPr>
          <w:rFonts w:eastAsia="Calibri"/>
          <w:lang w:eastAsia="en-US"/>
        </w:rPr>
        <w:t>Н.Любомудрова</w:t>
      </w:r>
      <w:proofErr w:type="spellEnd"/>
      <w:r>
        <w:rPr>
          <w:rFonts w:eastAsia="Calibri"/>
          <w:lang w:eastAsia="en-US"/>
        </w:rPr>
        <w:t xml:space="preserve">   в с. Лацкое;   </w:t>
      </w:r>
      <w:proofErr w:type="gramStart"/>
      <w:r>
        <w:rPr>
          <w:rFonts w:eastAsia="Calibri"/>
          <w:lang w:eastAsia="en-US"/>
        </w:rPr>
        <w:t xml:space="preserve">Покровская церковь в с. Покров-Раменье; Воскресенская церковь в   с. Воскресенское, загородная усадьба и парк   Пономарева; в п. Борок – административном центре поселения - мемориальный дом-музей Н.А.Морозова и парк в английском стиле, памятник  Н.А.   Морозову на его могиле, музей и бюст И.Д.Папанина и др.); </w:t>
      </w:r>
      <w:r>
        <w:t xml:space="preserve"> событийными  мероприятиями, связанными  с наукой, краеведением, культурой, спортом;</w:t>
      </w:r>
      <w:proofErr w:type="gramEnd"/>
      <w:r>
        <w:t xml:space="preserve"> и главное - заинтересованность населения в развитии туризма. В </w:t>
      </w:r>
      <w:proofErr w:type="spellStart"/>
      <w:r>
        <w:t>Веретейском</w:t>
      </w:r>
      <w:proofErr w:type="spellEnd"/>
      <w:r>
        <w:t xml:space="preserve"> сельском поселении гостиничный  бизнес наряду с торговлей один из  привлекательных видов  деятельности  для субъектов  малого  предпринимательства. </w:t>
      </w:r>
    </w:p>
    <w:p w:rsidR="00765B58" w:rsidRDefault="00765B58" w:rsidP="00765B58">
      <w:pPr>
        <w:pStyle w:val="default"/>
        <w:spacing w:before="0" w:beforeAutospacing="0" w:after="0" w:afterAutospacing="0" w:line="240" w:lineRule="atLeast"/>
        <w:jc w:val="both"/>
      </w:pPr>
      <w:r>
        <w:t xml:space="preserve">     Вместе с тем существуют сдерживающие факторы развития  туризма в </w:t>
      </w:r>
      <w:proofErr w:type="spellStart"/>
      <w:r>
        <w:t>Веретейском</w:t>
      </w:r>
      <w:proofErr w:type="spellEnd"/>
      <w:r>
        <w:t xml:space="preserve"> сельском поселении, к которым можно отнести: сезонность туристской услуги; недостаточно развитую  туристскую  инфраструктуру  и отсутствие системы навигации туристов; недостаток квалифицированных специалистов в туристской индустрии;  недостаточный уровень развития сферы дополнительных услуг;  отсутствие экскурсионного (туристского) бюро; отсутствие современной  рекламы туристских возможностей Веретейского сельского поселения,  что затрудняет деятельность по целенаправленному формированию позитивного имиджа поселения  как территории, благоприятной для туризма. </w:t>
      </w:r>
    </w:p>
    <w:p w:rsidR="00765B58" w:rsidRDefault="00765B58" w:rsidP="00765B58">
      <w:pPr>
        <w:pStyle w:val="default"/>
        <w:spacing w:before="0" w:beforeAutospacing="0" w:after="0" w:afterAutospacing="0" w:line="240" w:lineRule="atLeast"/>
        <w:jc w:val="both"/>
      </w:pPr>
      <w:r>
        <w:t xml:space="preserve">     Влияние сдерживающих </w:t>
      </w:r>
      <w:proofErr w:type="gramStart"/>
      <w:r>
        <w:t>факторов</w:t>
      </w:r>
      <w:proofErr w:type="gramEnd"/>
      <w:r>
        <w:t xml:space="preserve"> возможно преодолеть путем повышения качества управления в сфере туризма, создавая соответствующую  организационную  структуру  на местном уровне  при условии стабильного финансирования из бюджетных и внебюджетных источников системных мероприятий. Дополнительным условием успешного развития  туризма является также активное вовлечение и участие индивидуальных предпринимателей, туристских объединений в формировании и продвижении  туристского продукта и туристской привлекательности Веретейского сельского поселения.</w:t>
      </w:r>
    </w:p>
    <w:p w:rsidR="00765B58" w:rsidRDefault="00765B58" w:rsidP="00765B58">
      <w:pPr>
        <w:pStyle w:val="default"/>
        <w:jc w:val="center"/>
        <w:rPr>
          <w:b/>
        </w:rPr>
      </w:pPr>
      <w:r>
        <w:rPr>
          <w:b/>
        </w:rPr>
        <w:t>6.1. Управление рисками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Реализация муниципальной программы сопряжена с рисками, которые могут препятствовать достижению запланированных результатов. Поэтому  прогнозирование </w:t>
      </w:r>
      <w:r>
        <w:lastRenderedPageBreak/>
        <w:t xml:space="preserve">возможных рисков,  формирование системы мер по их предотвращению имеет </w:t>
      </w:r>
      <w:proofErr w:type="gramStart"/>
      <w:r>
        <w:t>важное значение</w:t>
      </w:r>
      <w:proofErr w:type="gramEnd"/>
      <w:r>
        <w:t xml:space="preserve"> для успешной реализации программы. 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В рамках реализации программы могут быть выделены следующие риски ее реализации.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>Правовые риски</w:t>
      </w:r>
      <w:r>
        <w:t xml:space="preserve"> связаны с изменением федерального, регионального  законодательства, что может привести к существенному  изменению условий реализации мероприятий муниципальной   программы.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Для минимизации воздействия данной группы рисков в рамках реализации Программы планируется: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- на этапе разработки проектов документов привлекать к их обсуждению основные заинтересованные стороны;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проводить мониторинг планируемых изменений в федеральном, областном законодательстве в сферах культуры, туризма и смежных областях.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>Финансовые риски</w:t>
      </w:r>
      <w:r>
        <w:t xml:space="preserve">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развитие  культуры и туризма,  что может повлечь недофинансирование, сокращение или прекращение программных мероприятий.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Способами ограничения финансовых рисков выступают следующие меры: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мониторинг эффективности бюджетных вложений;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определение приоритетов для первоочередного финансирования;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- привлечение внебюджетного финансирования.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>Макроэкономические риски</w:t>
      </w:r>
      <w:r>
        <w:t xml:space="preserve">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 культуры и туризма, необоснованный рост стоимости услуг  культуры и туристских услуг.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Снижение данных рисков предусматривается мероприятиями, направленными на совершенствование государственного регулирования, в том числе на повышение инвестиционной привлекательности и экономическое стимулирование.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>Административные риски</w:t>
      </w:r>
      <w:r>
        <w:t xml:space="preserve"> - 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управляемости,  нарушение планируемых сроков реализации программы, невыполнение ее цели и задач, </w:t>
      </w:r>
      <w:proofErr w:type="spellStart"/>
      <w:r>
        <w:t>недостижение</w:t>
      </w:r>
      <w:proofErr w:type="spellEnd"/>
      <w: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Основными условиями минимизации административных рисков являются: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формирование эффективной системы управления реализацией программы;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- проведение систематического аудита результативности ее реализации;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-  повышение </w:t>
      </w:r>
      <w:proofErr w:type="gramStart"/>
      <w:r>
        <w:t>эффективности взаимодействия участников реализации программы</w:t>
      </w:r>
      <w:proofErr w:type="gramEnd"/>
      <w:r>
        <w:t>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заключение и контроль реализации соглашений о взаимодействии с заинтересованными сторонами;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своевременная корректировка мероприятий Программы.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 xml:space="preserve">Кадровые риски </w:t>
      </w:r>
      <w:r>
        <w:t>обусловлены недостатком  квалифицированных кадров,  что снижает эффективность работы учреждений культуры, предприятий и организаций туристской индустрии и качество предоставляемых услуг.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Снижение влияния данной группы рисков предполагается посредством обеспечения притока квалифицированных кадров и переподготовки (повышения квалификации) имеющихся специалистов.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7. Прогноз развития культуры и туризма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</w:p>
    <w:p w:rsidR="00765B58" w:rsidRDefault="00765B58" w:rsidP="00765B58">
      <w:pPr>
        <w:pStyle w:val="rtejustify"/>
        <w:spacing w:before="0" w:beforeAutospacing="0" w:after="0" w:afterAutospacing="0" w:line="240" w:lineRule="atLeast"/>
        <w:jc w:val="both"/>
        <w:rPr>
          <w:rFonts w:cs="Times New Roman CYR"/>
          <w:b/>
        </w:rPr>
      </w:pPr>
      <w:r>
        <w:t xml:space="preserve">     </w:t>
      </w:r>
      <w:proofErr w:type="gramStart"/>
      <w:r>
        <w:t xml:space="preserve">В результате реализации мероприятий муниципальной программы будут созданы необходимые условия для развития культуры и туризма в </w:t>
      </w:r>
      <w:proofErr w:type="spellStart"/>
      <w:r>
        <w:t>Веретейском</w:t>
      </w:r>
      <w:proofErr w:type="spellEnd"/>
      <w:r>
        <w:t xml:space="preserve"> сельском поселении, что будет способствовать социально-экономическому развитию муниципального образования путем   благоприятствования деятельности  субъектов культуры, малого и среднего предпринимательства, научных учреждений, создания дополнительных рабочих мест, увеличения налоговых отчислений в бюджет, увеличения потребления местных товаров  и услуг, постоянного притока финансовых средств в территорию.</w:t>
      </w:r>
      <w:proofErr w:type="gramEnd"/>
      <w:r>
        <w:t xml:space="preserve"> Туризм - это эффективный инструмент преодоления кризисных явлений.  Опыт наших соседей -  </w:t>
      </w:r>
      <w:proofErr w:type="spellStart"/>
      <w:r>
        <w:t>Мышкинского</w:t>
      </w:r>
      <w:proofErr w:type="spellEnd"/>
      <w:r>
        <w:t xml:space="preserve"> муниципального района  убеждает, что развитие культуры и туризма позитивно влияет на   развитие  территории  в  целом, формирует благоприятный социальный климат.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Главный социальный эффект будет состоять в создании прочных предпосылок и условий для удовлетворения потребностей населения в активном и полноценном отдыхе, содержательном проведении досуга, приобщению к культурным ценностям, расширению кругозора и контактов.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8. Прогноз ожидаемых результатов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Основными ожидаемыми результатами реализации Программы являются: </w:t>
      </w:r>
    </w:p>
    <w:p w:rsidR="00765B58" w:rsidRDefault="00765B58" w:rsidP="00765B58">
      <w:pPr>
        <w:jc w:val="both"/>
      </w:pPr>
      <w:r>
        <w:rPr>
          <w:rFonts w:cs="Times New Roman CYR"/>
          <w:sz w:val="28"/>
          <w:szCs w:val="28"/>
        </w:rPr>
        <w:t xml:space="preserve">- </w:t>
      </w:r>
      <w:r>
        <w:t xml:space="preserve">превращение культуры и туризма  в наиболее развитые и привлекательные сферы общественной деятельности; </w:t>
      </w:r>
    </w:p>
    <w:p w:rsidR="00765B58" w:rsidRDefault="00765B58" w:rsidP="00765B58">
      <w:pPr>
        <w:jc w:val="both"/>
      </w:pPr>
      <w:r>
        <w:t xml:space="preserve">- формирование  позитивного имиджа  Веретейского  сельского поселения  как территории, благоприятной для туризма и отдыха; </w:t>
      </w:r>
    </w:p>
    <w:p w:rsidR="00765B58" w:rsidRDefault="00765B58" w:rsidP="00765B58">
      <w:pPr>
        <w:jc w:val="both"/>
        <w:rPr>
          <w:rFonts w:cs="Times New Roman CYR"/>
        </w:rPr>
      </w:pPr>
      <w:r>
        <w:rPr>
          <w:rFonts w:cs="Times New Roman CYR"/>
        </w:rPr>
        <w:t xml:space="preserve"> - укрепление  единого  культурного пространства, культурных связей в 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 сельском поселении; обеспечение равного доступа к культурным ценностям для разных возрастных и  социальных групп;</w:t>
      </w:r>
    </w:p>
    <w:p w:rsidR="00765B58" w:rsidRDefault="00765B58" w:rsidP="00765B58">
      <w:pPr>
        <w:jc w:val="both"/>
      </w:pPr>
      <w:r>
        <w:t>- формирование культурной среды, отвечающей  растущим потребностям личности и   общества, повышение качества,    разнообразия и эффективности услуг в сферах культуры и туризма.</w:t>
      </w:r>
    </w:p>
    <w:p w:rsidR="00765B58" w:rsidRDefault="00765B58" w:rsidP="00765B58">
      <w:pPr>
        <w:jc w:val="both"/>
        <w:rPr>
          <w:rFonts w:cs="Times New Roman CYR"/>
        </w:rPr>
      </w:pPr>
      <w:r>
        <w:rPr>
          <w:rFonts w:cs="Times New Roman CYR"/>
        </w:rPr>
        <w:t xml:space="preserve">- формирование благоприятного социального климата в </w:t>
      </w:r>
      <w:proofErr w:type="spellStart"/>
      <w:r>
        <w:rPr>
          <w:rFonts w:cs="Times New Roman CYR"/>
        </w:rPr>
        <w:t>Веретейском</w:t>
      </w:r>
      <w:proofErr w:type="spellEnd"/>
      <w:r>
        <w:rPr>
          <w:rFonts w:cs="Times New Roman CYR"/>
        </w:rPr>
        <w:t xml:space="preserve"> сельском поселении.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9. Обоснование набора подпрограмм муниципальной программы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 xml:space="preserve">     </w:t>
      </w:r>
      <w:r>
        <w:t xml:space="preserve">Исходя из основной цели муниципальной программы и задач, необходимых для решения поставленной цели, в рамках программы    предусмотрены две  подпрограммы: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«Развитие культуры в </w:t>
      </w:r>
      <w:proofErr w:type="spellStart"/>
      <w:r>
        <w:t>Веретейском</w:t>
      </w:r>
      <w:proofErr w:type="spellEnd"/>
      <w:r>
        <w:t xml:space="preserve"> сельском поселении» на 2014-2016 годы;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«Развитие туризма в </w:t>
      </w:r>
      <w:proofErr w:type="spellStart"/>
      <w:r>
        <w:t>Веретейском</w:t>
      </w:r>
      <w:proofErr w:type="spellEnd"/>
      <w:r>
        <w:t xml:space="preserve"> сельском поселении» на 2015-2017 годы.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    Предполагается реализация пяти основных мероприятий, выделенных в структуре подпрограммы «Развитие культуры в </w:t>
      </w:r>
      <w:proofErr w:type="spellStart"/>
      <w:r>
        <w:t>Веретейском</w:t>
      </w:r>
      <w:proofErr w:type="spellEnd"/>
      <w:r>
        <w:t xml:space="preserve"> сельском поселении» на 2014-2016гг.: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создание условий для стимулирования населения к творческой самореализации;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- развитие и совершенствование системы массовых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765B58" w:rsidRDefault="00765B58" w:rsidP="00765B58">
      <w:pPr>
        <w:jc w:val="both"/>
      </w:pPr>
      <w:r>
        <w:t xml:space="preserve">- развитие </w:t>
      </w:r>
      <w:proofErr w:type="spellStart"/>
      <w:r>
        <w:t>ифраструктуры</w:t>
      </w:r>
      <w:proofErr w:type="spellEnd"/>
      <w:r>
        <w:t xml:space="preserve"> и укрепление материально-технической базы учреждений культуры;</w:t>
      </w:r>
    </w:p>
    <w:p w:rsidR="00765B58" w:rsidRDefault="00765B58" w:rsidP="00765B58">
      <w:pPr>
        <w:jc w:val="both"/>
      </w:pPr>
      <w:r>
        <w:t xml:space="preserve">- </w:t>
      </w:r>
      <w:r>
        <w:rPr>
          <w:rFonts w:ascii="Calibri" w:hAnsi="Calibri" w:cs="Calibri"/>
        </w:rPr>
        <w:t xml:space="preserve"> б</w:t>
      </w:r>
      <w:r>
        <w:t>иблиотечное и музейное дело;</w:t>
      </w:r>
    </w:p>
    <w:p w:rsidR="00765B58" w:rsidRDefault="00765B58" w:rsidP="00765B58">
      <w:pPr>
        <w:jc w:val="both"/>
        <w:rPr>
          <w:rFonts w:ascii="Calibri" w:hAnsi="Calibri" w:cs="Calibri"/>
        </w:rPr>
      </w:pPr>
      <w:r>
        <w:t>- аналитическо-информационное обеспечение и издательская деятельность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Подпрограмма «Развитие туризма в </w:t>
      </w:r>
      <w:proofErr w:type="spellStart"/>
      <w:r>
        <w:t>Веретейском</w:t>
      </w:r>
      <w:proofErr w:type="spellEnd"/>
      <w:r>
        <w:t xml:space="preserve"> сельском поселении» на 2015-2017гг. включает следующие основные мероприятия: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ф</w:t>
      </w:r>
      <w:r>
        <w:rPr>
          <w:rFonts w:cs="Times New Roman CYR"/>
          <w:bCs/>
        </w:rPr>
        <w:t>ормирование системы управления развитием туризма;</w:t>
      </w:r>
      <w:r>
        <w:t xml:space="preserve"> 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развитие инфраструктуры и материальной базы туризма;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рекламно-информационное обеспечение туристской деятельности;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формирование  привлекательного туристского имиджа;</w:t>
      </w:r>
    </w:p>
    <w:p w:rsidR="00765B58" w:rsidRDefault="00765B58" w:rsidP="00765B58">
      <w:pPr>
        <w:spacing w:line="240" w:lineRule="atLeast"/>
        <w:jc w:val="both"/>
      </w:pPr>
      <w:r>
        <w:lastRenderedPageBreak/>
        <w:t>- подготовка кадров в сфере туризма</w:t>
      </w:r>
    </w:p>
    <w:p w:rsidR="00765B58" w:rsidRDefault="00765B58" w:rsidP="00765B58">
      <w:pPr>
        <w:spacing w:line="240" w:lineRule="atLeast"/>
        <w:jc w:val="both"/>
      </w:pPr>
      <w:r>
        <w:t xml:space="preserve">     </w:t>
      </w:r>
      <w:proofErr w:type="gramStart"/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765B58" w:rsidRDefault="00765B58" w:rsidP="00765B58">
      <w:pPr>
        <w:spacing w:line="240" w:lineRule="atLeast"/>
      </w:pPr>
    </w:p>
    <w:p w:rsidR="00765B58" w:rsidRDefault="00765B58" w:rsidP="00765B58">
      <w:pPr>
        <w:pStyle w:val="a3"/>
        <w:numPr>
          <w:ilvl w:val="0"/>
          <w:numId w:val="1"/>
        </w:numPr>
        <w:tabs>
          <w:tab w:val="left" w:pos="780"/>
        </w:tabs>
        <w:spacing w:before="0" w:beforeAutospacing="0" w:after="0" w:afterAutospacing="0" w:line="240" w:lineRule="atLeast"/>
        <w:ind w:left="780" w:hanging="420"/>
        <w:jc w:val="center"/>
        <w:rPr>
          <w:b/>
        </w:rPr>
      </w:pPr>
      <w:r>
        <w:rPr>
          <w:b/>
        </w:rPr>
        <w:t xml:space="preserve">Обоснование необходимых финансовых ресурсов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ind w:left="360"/>
        <w:jc w:val="center"/>
        <w:rPr>
          <w:b/>
        </w:rPr>
      </w:pPr>
      <w:r>
        <w:rPr>
          <w:b/>
        </w:rPr>
        <w:t xml:space="preserve">на реализацию муниципальной программы 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ind w:left="360"/>
        <w:jc w:val="center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rPr>
          <w:rFonts w:cs="Times New Roman CYR"/>
        </w:rPr>
      </w:pPr>
      <w:r>
        <w:t xml:space="preserve">Общий объем финансовых ресурсов на 2015-2020 годы  за счет средств областного и местного  бюджетов  составляет </w:t>
      </w:r>
      <w:r w:rsidRPr="00EC6D83">
        <w:rPr>
          <w:b/>
        </w:rPr>
        <w:t xml:space="preserve">6 </w:t>
      </w:r>
      <w:r>
        <w:rPr>
          <w:b/>
        </w:rPr>
        <w:t>684</w:t>
      </w:r>
      <w:r w:rsidRPr="00EC6D83">
        <w:rPr>
          <w:b/>
        </w:rPr>
        <w:t xml:space="preserve"> 306</w:t>
      </w:r>
      <w:r>
        <w:rPr>
          <w:rFonts w:cs="Times New Roman CYR"/>
        </w:rPr>
        <w:t xml:space="preserve"> рублей,</w:t>
      </w:r>
    </w:p>
    <w:p w:rsidR="00765B58" w:rsidRDefault="00765B58" w:rsidP="00765B58">
      <w:pPr>
        <w:spacing w:line="240" w:lineRule="atLeast"/>
        <w:rPr>
          <w:rFonts w:cs="Times New Roman CYR"/>
        </w:rPr>
      </w:pPr>
      <w:r>
        <w:rPr>
          <w:rFonts w:cs="Times New Roman CYR"/>
        </w:rPr>
        <w:t xml:space="preserve"> в том числе за счет средств </w:t>
      </w:r>
      <w:r w:rsidRPr="005E194B">
        <w:rPr>
          <w:rFonts w:cs="Times New Roman CYR"/>
          <w:b/>
        </w:rPr>
        <w:t xml:space="preserve">областного бюджета </w:t>
      </w:r>
      <w:r>
        <w:rPr>
          <w:rFonts w:cs="Times New Roman CYR"/>
        </w:rPr>
        <w:t xml:space="preserve">-  </w:t>
      </w:r>
      <w:r>
        <w:rPr>
          <w:rFonts w:eastAsia="SimSun"/>
          <w:kern w:val="1"/>
        </w:rPr>
        <w:t>177 306</w:t>
      </w:r>
      <w:r>
        <w:rPr>
          <w:rFonts w:cs="Times New Roman CYR"/>
        </w:rPr>
        <w:t xml:space="preserve"> рублей:</w:t>
      </w:r>
    </w:p>
    <w:p w:rsidR="00765B58" w:rsidRDefault="00765B58" w:rsidP="00765B58">
      <w:pPr>
        <w:rPr>
          <w:rFonts w:cs="Times New Roman CYR"/>
        </w:rPr>
      </w:pPr>
      <w:r w:rsidRPr="005E194B">
        <w:t xml:space="preserve">2015 </w:t>
      </w:r>
      <w:r w:rsidRPr="005E194B">
        <w:rPr>
          <w:rFonts w:cs="Times New Roman CYR"/>
        </w:rPr>
        <w:t xml:space="preserve">год – </w:t>
      </w:r>
      <w:r>
        <w:rPr>
          <w:rFonts w:cs="Times New Roman CYR"/>
        </w:rPr>
        <w:t>10 000 рублей;</w:t>
      </w:r>
    </w:p>
    <w:p w:rsidR="00765B58" w:rsidRDefault="00765B58" w:rsidP="00765B58">
      <w:pPr>
        <w:rPr>
          <w:rFonts w:cs="Times New Roman CYR"/>
        </w:rPr>
      </w:pPr>
      <w:r>
        <w:t xml:space="preserve">2016 </w:t>
      </w:r>
      <w:r>
        <w:rPr>
          <w:rFonts w:cs="Times New Roman CYR"/>
        </w:rPr>
        <w:t>год – 167 306 рублей;</w:t>
      </w:r>
    </w:p>
    <w:p w:rsidR="00765B58" w:rsidRDefault="00765B58" w:rsidP="00765B58">
      <w:pPr>
        <w:rPr>
          <w:rFonts w:cs="Times New Roman CYR"/>
        </w:rPr>
      </w:pPr>
      <w:r>
        <w:t xml:space="preserve">2017 </w:t>
      </w:r>
      <w:r>
        <w:rPr>
          <w:rFonts w:cs="Times New Roman CYR"/>
        </w:rPr>
        <w:t>год – 0  рублей;</w:t>
      </w:r>
    </w:p>
    <w:p w:rsidR="00765B58" w:rsidRDefault="00765B58" w:rsidP="00765B58">
      <w:pPr>
        <w:rPr>
          <w:rFonts w:cs="Times New Roman CYR"/>
        </w:rPr>
      </w:pPr>
      <w:r>
        <w:t xml:space="preserve">2018 </w:t>
      </w:r>
      <w:r>
        <w:rPr>
          <w:rFonts w:cs="Times New Roman CYR"/>
        </w:rPr>
        <w:t>год – 0  рублей;</w:t>
      </w:r>
    </w:p>
    <w:p w:rsidR="00765B58" w:rsidRDefault="00765B58" w:rsidP="00765B58">
      <w:pPr>
        <w:rPr>
          <w:rFonts w:cs="Times New Roman CYR"/>
        </w:rPr>
      </w:pPr>
      <w:r>
        <w:t xml:space="preserve">2019 </w:t>
      </w:r>
      <w:r>
        <w:rPr>
          <w:rFonts w:cs="Times New Roman CYR"/>
        </w:rPr>
        <w:t>год – 0  рублей;</w:t>
      </w:r>
    </w:p>
    <w:p w:rsidR="00765B58" w:rsidRDefault="00765B58" w:rsidP="00765B58">
      <w:pPr>
        <w:jc w:val="both"/>
        <w:rPr>
          <w:rFonts w:cs="Times New Roman CYR"/>
        </w:rPr>
      </w:pPr>
      <w:r>
        <w:t xml:space="preserve">2020 </w:t>
      </w:r>
      <w:r>
        <w:rPr>
          <w:rFonts w:cs="Times New Roman CYR"/>
        </w:rPr>
        <w:t xml:space="preserve">год – 0  рублей;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  <w:rPr>
          <w:rFonts w:cs="Times New Roman CYR"/>
        </w:rPr>
      </w:pPr>
      <w:r>
        <w:t xml:space="preserve">за счет средств </w:t>
      </w:r>
      <w:r w:rsidRPr="005E194B">
        <w:rPr>
          <w:b/>
        </w:rPr>
        <w:t>местного бюджета</w:t>
      </w:r>
      <w:r>
        <w:t xml:space="preserve"> – 6 507 000</w:t>
      </w:r>
      <w:r>
        <w:rPr>
          <w:rFonts w:cs="Times New Roman CYR"/>
        </w:rPr>
        <w:t xml:space="preserve"> рублей,</w:t>
      </w:r>
    </w:p>
    <w:p w:rsidR="00765B58" w:rsidRDefault="00765B58" w:rsidP="00765B58">
      <w:pPr>
        <w:rPr>
          <w:rFonts w:cs="Times New Roman CYR"/>
        </w:rPr>
      </w:pPr>
      <w:r>
        <w:t xml:space="preserve">2015 </w:t>
      </w:r>
      <w:r>
        <w:rPr>
          <w:rFonts w:cs="Times New Roman CYR"/>
        </w:rPr>
        <w:t>год – 1 132 000 рублей;</w:t>
      </w:r>
    </w:p>
    <w:p w:rsidR="00765B58" w:rsidRDefault="00765B58" w:rsidP="00765B58">
      <w:pPr>
        <w:rPr>
          <w:rFonts w:cs="Times New Roman CYR"/>
        </w:rPr>
      </w:pPr>
      <w:r>
        <w:t xml:space="preserve">2016 </w:t>
      </w:r>
      <w:r>
        <w:rPr>
          <w:rFonts w:cs="Times New Roman CYR"/>
        </w:rPr>
        <w:t>год – 1 200 000 рублей;</w:t>
      </w:r>
    </w:p>
    <w:p w:rsidR="00765B58" w:rsidRDefault="00765B58" w:rsidP="00765B58">
      <w:pPr>
        <w:rPr>
          <w:rFonts w:cs="Times New Roman CYR"/>
        </w:rPr>
      </w:pPr>
      <w:r>
        <w:t xml:space="preserve">2017 </w:t>
      </w:r>
      <w:r>
        <w:rPr>
          <w:rFonts w:cs="Times New Roman CYR"/>
        </w:rPr>
        <w:t>год – 1 475 000 рублей;</w:t>
      </w:r>
    </w:p>
    <w:p w:rsidR="00765B58" w:rsidRDefault="00765B58" w:rsidP="00765B58">
      <w:pPr>
        <w:rPr>
          <w:rFonts w:cs="Times New Roman CYR"/>
        </w:rPr>
      </w:pPr>
      <w:r>
        <w:t xml:space="preserve">2018 </w:t>
      </w:r>
      <w:r>
        <w:rPr>
          <w:rFonts w:cs="Times New Roman CYR"/>
        </w:rPr>
        <w:t>год – 900 000 рублей;</w:t>
      </w:r>
    </w:p>
    <w:p w:rsidR="00765B58" w:rsidRDefault="00765B58" w:rsidP="00765B58">
      <w:pPr>
        <w:rPr>
          <w:rFonts w:cs="Times New Roman CYR"/>
        </w:rPr>
      </w:pPr>
      <w:r>
        <w:t xml:space="preserve">2019 </w:t>
      </w:r>
      <w:r>
        <w:rPr>
          <w:rFonts w:cs="Times New Roman CYR"/>
        </w:rPr>
        <w:t>год – 900 000 рублей;</w:t>
      </w:r>
    </w:p>
    <w:p w:rsidR="00765B58" w:rsidRDefault="00765B58" w:rsidP="00765B58">
      <w:pPr>
        <w:jc w:val="both"/>
        <w:rPr>
          <w:rFonts w:cs="Times New Roman CYR"/>
        </w:rPr>
      </w:pPr>
      <w:r>
        <w:t xml:space="preserve">2020 </w:t>
      </w:r>
      <w:r>
        <w:rPr>
          <w:rFonts w:cs="Times New Roman CYR"/>
        </w:rPr>
        <w:t xml:space="preserve">год – 900 000 рублей. </w:t>
      </w:r>
    </w:p>
    <w:p w:rsidR="00765B58" w:rsidRDefault="00765B58" w:rsidP="00765B58">
      <w:pPr>
        <w:pStyle w:val="a3"/>
        <w:jc w:val="both"/>
        <w:rPr>
          <w:rFonts w:cs="Times New Roman CYR"/>
        </w:rPr>
      </w:pPr>
      <w:r>
        <w:t xml:space="preserve">    </w:t>
      </w:r>
      <w:proofErr w:type="gramStart"/>
      <w:r>
        <w:t xml:space="preserve">Объем ресурсного обеспечения реализации муниципальной программы за счет средств областного бюджета определен в соответствии с  Постановлением Правительства Ярославской области от 10.07.2015г. № 747-п «Об утверждении распределения в 2015г. субсидий муниципальным образованиям области, бюджетам которых предоставляются  </w:t>
      </w:r>
      <w:r>
        <w:rPr>
          <w:rFonts w:cs="Times New Roman CYR"/>
        </w:rPr>
        <w:t xml:space="preserve">субсидии из областного бюджета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области».  </w:t>
      </w:r>
      <w:proofErr w:type="gramEnd"/>
    </w:p>
    <w:p w:rsidR="00765B58" w:rsidRDefault="00765B58" w:rsidP="00765B58">
      <w:pPr>
        <w:pStyle w:val="a3"/>
      </w:pPr>
      <w:r>
        <w:t xml:space="preserve"> Объем ресурсного обеспечения реализации муниципальной программы за счет средств местного бюджета определен на основе анализа </w:t>
      </w:r>
      <w:r>
        <w:rPr>
          <w:rFonts w:cs="Times New Roman CYR"/>
          <w:iCs/>
          <w:sz w:val="28"/>
          <w:szCs w:val="28"/>
        </w:rPr>
        <w:t xml:space="preserve"> </w:t>
      </w:r>
      <w:r>
        <w:rPr>
          <w:rFonts w:cs="Times New Roman CYR"/>
          <w:iCs/>
        </w:rPr>
        <w:t xml:space="preserve">финансирования культурно-массовых мероприятий, проводимых в </w:t>
      </w:r>
      <w:proofErr w:type="spellStart"/>
      <w:r>
        <w:rPr>
          <w:rFonts w:cs="Times New Roman CYR"/>
          <w:iCs/>
        </w:rPr>
        <w:t>Веретейском</w:t>
      </w:r>
      <w:proofErr w:type="spellEnd"/>
      <w:r>
        <w:rPr>
          <w:rFonts w:cs="Times New Roman CYR"/>
          <w:iCs/>
        </w:rPr>
        <w:t xml:space="preserve"> сельском поселении в 2013-2014гг</w:t>
      </w:r>
      <w:r>
        <w:t xml:space="preserve">,  основных тенденциях развития культуры и туризма, изучения коммерческих предложений предприятий, организаций, занимающихся соответствующей деятельностью.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 xml:space="preserve">11. Методика оценки эффективности муниципальной программы  </w:t>
      </w:r>
    </w:p>
    <w:p w:rsidR="00765B58" w:rsidRDefault="00765B58" w:rsidP="00765B58">
      <w:pPr>
        <w:pStyle w:val="a3"/>
      </w:pPr>
      <w:r>
        <w:t xml:space="preserve">    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№210.</w:t>
      </w:r>
    </w:p>
    <w:p w:rsidR="00765B58" w:rsidRDefault="00765B58" w:rsidP="00765B58">
      <w:pPr>
        <w:pStyle w:val="a3"/>
        <w:jc w:val="center"/>
        <w:rPr>
          <w:b/>
        </w:rPr>
      </w:pPr>
      <w:r>
        <w:rPr>
          <w:b/>
        </w:rPr>
        <w:t xml:space="preserve"> 12. Сведения о порядке сбора информации, методике расчета показателей (индикаторов) муниципальной программы</w:t>
      </w:r>
    </w:p>
    <w:tbl>
      <w:tblPr>
        <w:tblW w:w="9385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396"/>
        <w:gridCol w:w="2259"/>
        <w:gridCol w:w="1136"/>
        <w:gridCol w:w="3482"/>
        <w:gridCol w:w="2112"/>
      </w:tblGrid>
      <w:tr w:rsidR="00765B58" w:rsidTr="00EE311E">
        <w:trPr>
          <w:tblHeader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Наименование показателя</w:t>
            </w: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Единица измерения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Базовые показатели</w:t>
            </w:r>
            <w:r>
              <w:br/>
              <w:t>(используе</w:t>
            </w:r>
            <w:r>
              <w:softHyphen/>
              <w:t>мые в формуле)</w:t>
            </w:r>
          </w:p>
        </w:tc>
      </w:tr>
      <w:tr w:rsidR="00765B58" w:rsidTr="00EE311E">
        <w:trPr>
          <w:tblHeader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5</w:t>
            </w:r>
          </w:p>
        </w:tc>
      </w:tr>
      <w:tr w:rsidR="00765B58" w:rsidTr="00EE311E">
        <w:trPr>
          <w:trHeight w:val="1185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spacing w:before="0" w:beforeAutospacing="0" w:after="0" w:afterAutospacing="0" w:line="240" w:lineRule="atLeast"/>
            </w:pPr>
            <w:r>
              <w:t>Показатель 1.</w:t>
            </w:r>
          </w:p>
          <w:p w:rsidR="00765B58" w:rsidRDefault="00765B58" w:rsidP="00EE311E">
            <w:pPr>
              <w:pStyle w:val="a3"/>
              <w:spacing w:before="0" w:beforeAutospacing="0" w:after="0" w:afterAutospacing="0" w:line="240" w:lineRule="atLeast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</w:t>
            </w:r>
          </w:p>
          <w:p w:rsidR="00765B58" w:rsidRDefault="00765B58" w:rsidP="00EE311E">
            <w:pPr>
              <w:pStyle w:val="a3"/>
            </w:pP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 xml:space="preserve">единиц 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r>
              <w:t xml:space="preserve">КФБДК + КФВДК + КФЛДК + КФМДК= показатель определяется  суммированием данных, где </w:t>
            </w:r>
          </w:p>
          <w:p w:rsidR="00765B58" w:rsidRDefault="00765B58" w:rsidP="00EE311E">
            <w:r>
              <w:t>КФБДК – количество формирований в Борковском ДК,</w:t>
            </w:r>
          </w:p>
          <w:p w:rsidR="00765B58" w:rsidRDefault="00765B58" w:rsidP="00EE311E">
            <w:r>
              <w:t xml:space="preserve">КФВДК – количество формирований в </w:t>
            </w:r>
            <w:proofErr w:type="spellStart"/>
            <w:r>
              <w:rPr>
                <w:sz w:val="22"/>
                <w:szCs w:val="22"/>
              </w:rPr>
              <w:t>Веретейском</w:t>
            </w:r>
            <w:proofErr w:type="spellEnd"/>
            <w:r>
              <w:t xml:space="preserve"> ДК,</w:t>
            </w:r>
          </w:p>
          <w:p w:rsidR="00765B58" w:rsidRDefault="00765B58" w:rsidP="00EE311E">
            <w:r>
              <w:t xml:space="preserve">КФЛДК – количество формирований в </w:t>
            </w:r>
            <w:proofErr w:type="spellStart"/>
            <w:r>
              <w:t>Лацковском</w:t>
            </w:r>
            <w:proofErr w:type="spellEnd"/>
            <w:r>
              <w:t xml:space="preserve"> ДК,</w:t>
            </w:r>
          </w:p>
          <w:p w:rsidR="00765B58" w:rsidRDefault="00765B58" w:rsidP="00EE311E">
            <w:r>
              <w:t>КФМД</w:t>
            </w:r>
            <w:proofErr w:type="gramStart"/>
            <w:r>
              <w:t>К-</w:t>
            </w:r>
            <w:proofErr w:type="gramEnd"/>
            <w:r>
              <w:t xml:space="preserve"> количество формирований в </w:t>
            </w:r>
            <w:proofErr w:type="spellStart"/>
            <w:r>
              <w:t>Марьинском</w:t>
            </w:r>
            <w:proofErr w:type="spellEnd"/>
            <w:r>
              <w:t xml:space="preserve"> ДК</w:t>
            </w: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</w:pPr>
            <w:r>
              <w:t xml:space="preserve"> Сведения предоставляются  директорами ДК, расположенных на территории ВСП</w:t>
            </w:r>
          </w:p>
        </w:tc>
      </w:tr>
      <w:tr w:rsidR="00765B58" w:rsidTr="00EE311E">
        <w:trPr>
          <w:trHeight w:val="465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</w:pPr>
            <w:r>
              <w:t xml:space="preserve">Показатель 2.  Количество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</w:t>
            </w: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человек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r>
              <w:t xml:space="preserve">КУФБДК + КУФВДК + КУФЛДК + КУФМДК= показатель определяется  суммированием данных, где </w:t>
            </w:r>
          </w:p>
          <w:p w:rsidR="00765B58" w:rsidRDefault="00765B58" w:rsidP="00EE311E">
            <w:r>
              <w:t>КУФБДК – количество участников формирований в Борковском ДК,</w:t>
            </w:r>
          </w:p>
          <w:p w:rsidR="00765B58" w:rsidRDefault="00765B58" w:rsidP="00EE311E">
            <w:r>
              <w:t xml:space="preserve">КФВДК – количество участников формирований в </w:t>
            </w:r>
            <w:proofErr w:type="spellStart"/>
            <w:r>
              <w:rPr>
                <w:sz w:val="22"/>
                <w:szCs w:val="22"/>
              </w:rPr>
              <w:t>Веретейском</w:t>
            </w:r>
            <w:proofErr w:type="spellEnd"/>
            <w:r>
              <w:t xml:space="preserve"> ДК,</w:t>
            </w:r>
          </w:p>
          <w:p w:rsidR="00765B58" w:rsidRDefault="00765B58" w:rsidP="00EE311E">
            <w:r>
              <w:t xml:space="preserve">КФЛДК – количество участников формирований в </w:t>
            </w:r>
            <w:proofErr w:type="spellStart"/>
            <w:r>
              <w:t>Лацковском</w:t>
            </w:r>
            <w:proofErr w:type="spellEnd"/>
            <w:r>
              <w:t xml:space="preserve"> ДК,</w:t>
            </w:r>
          </w:p>
          <w:p w:rsidR="00765B58" w:rsidRDefault="00765B58" w:rsidP="00EE311E">
            <w:r>
              <w:t>КФМД</w:t>
            </w:r>
            <w:proofErr w:type="gramStart"/>
            <w:r>
              <w:t>К-</w:t>
            </w:r>
            <w:proofErr w:type="gramEnd"/>
            <w:r>
              <w:t xml:space="preserve"> количество участников формирований в </w:t>
            </w:r>
            <w:proofErr w:type="spellStart"/>
            <w:r>
              <w:t>Марьинском</w:t>
            </w:r>
            <w:proofErr w:type="spellEnd"/>
            <w:r>
              <w:t xml:space="preserve"> ДК</w:t>
            </w: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</w:pPr>
            <w:r>
              <w:t>Сведения предоставляются  директорами ДК, расположенных на территории ВСП</w:t>
            </w:r>
          </w:p>
        </w:tc>
      </w:tr>
      <w:tr w:rsidR="00765B58" w:rsidTr="00EE311E">
        <w:trPr>
          <w:trHeight w:val="1770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b"/>
            </w:pPr>
            <w:r>
              <w:t>Показатель 3. Количество предприятий,  предоставляющих туристские услуги</w:t>
            </w: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 xml:space="preserve">показатель рассчитывается путем суммирования фактических данных  </w:t>
            </w:r>
          </w:p>
          <w:p w:rsidR="00765B58" w:rsidRDefault="00765B58" w:rsidP="00EE311E">
            <w:pPr>
              <w:pStyle w:val="conspluscell"/>
              <w:jc w:val="center"/>
            </w:pPr>
            <w:r>
              <w:t>(КСР – количество коллективных средств размещения, музейный отдел ИБВВ РАН, ИКЦ «</w:t>
            </w:r>
            <w:proofErr w:type="spellStart"/>
            <w:r>
              <w:t>Молога</w:t>
            </w:r>
            <w:proofErr w:type="spellEnd"/>
            <w:r>
              <w:t>» и т.п.)</w:t>
            </w:r>
          </w:p>
          <w:p w:rsidR="00765B58" w:rsidRDefault="00765B58" w:rsidP="00EE311E">
            <w:pPr>
              <w:pStyle w:val="conspluscell"/>
              <w:jc w:val="center"/>
            </w:pPr>
          </w:p>
          <w:p w:rsidR="00765B58" w:rsidRDefault="00765B58" w:rsidP="00EE311E">
            <w:pPr>
              <w:pStyle w:val="conspluscell"/>
              <w:jc w:val="center"/>
            </w:pP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spacing w:before="0" w:beforeAutospacing="0" w:after="0" w:afterAutospacing="0" w:line="240" w:lineRule="atLeast"/>
            </w:pPr>
            <w:r>
              <w:t xml:space="preserve">Сведения собирает ответственный исполнитель </w:t>
            </w:r>
          </w:p>
          <w:p w:rsidR="00765B58" w:rsidRDefault="00765B58" w:rsidP="00EE311E">
            <w:pPr>
              <w:pStyle w:val="conspluscell"/>
              <w:spacing w:before="0" w:beforeAutospacing="0" w:after="0" w:afterAutospacing="0" w:line="240" w:lineRule="atLeast"/>
            </w:pPr>
          </w:p>
        </w:tc>
      </w:tr>
      <w:tr w:rsidR="00765B58" w:rsidTr="00EE311E">
        <w:trPr>
          <w:trHeight w:val="1005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t>4.</w:t>
            </w:r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b"/>
            </w:pPr>
            <w:r>
              <w:t xml:space="preserve">Показатель 4. Совокупный  номерной фонд коллективных </w:t>
            </w:r>
            <w:r>
              <w:lastRenderedPageBreak/>
              <w:t>средств размещения (КСР) (гостиницы, мотели, базы отдыха и т.п.)</w:t>
            </w: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lastRenderedPageBreak/>
              <w:t xml:space="preserve">единиц 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 xml:space="preserve">фактическое количество определяется путем суммирования количества по каждому из КСР </w:t>
            </w: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spacing w:line="240" w:lineRule="atLeast"/>
            </w:pPr>
            <w:r>
              <w:t xml:space="preserve">Сведения предоставляют заведующая гостиницей ИБВВ </w:t>
            </w:r>
            <w:r>
              <w:lastRenderedPageBreak/>
              <w:t>РАН, ИП – владельцы КСР</w:t>
            </w:r>
          </w:p>
        </w:tc>
      </w:tr>
      <w:tr w:rsidR="00765B58" w:rsidTr="00EE311E">
        <w:trPr>
          <w:trHeight w:val="1545"/>
        </w:trPr>
        <w:tc>
          <w:tcPr>
            <w:tcW w:w="3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lastRenderedPageBreak/>
              <w:t>5.</w:t>
            </w:r>
          </w:p>
        </w:tc>
        <w:tc>
          <w:tcPr>
            <w:tcW w:w="22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b"/>
            </w:pPr>
            <w:r>
              <w:t>Показатель 5. Коэффициент загрузки КСР (средний)</w:t>
            </w:r>
          </w:p>
        </w:tc>
        <w:tc>
          <w:tcPr>
            <w:tcW w:w="11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a3"/>
              <w:jc w:val="center"/>
            </w:pPr>
            <w:r>
              <w:t>процентов</w:t>
            </w:r>
          </w:p>
        </w:tc>
        <w:tc>
          <w:tcPr>
            <w:tcW w:w="35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jc w:val="center"/>
            </w:pPr>
            <w:r>
              <w:t>рассчитывается как среднее арифметическое</w:t>
            </w:r>
          </w:p>
        </w:tc>
        <w:tc>
          <w:tcPr>
            <w:tcW w:w="21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65B58" w:rsidRDefault="00765B58" w:rsidP="00EE311E">
            <w:pPr>
              <w:pStyle w:val="conspluscell"/>
              <w:spacing w:line="240" w:lineRule="atLeast"/>
            </w:pPr>
            <w:r>
              <w:t>Сведения предоставляют заведующая гостиницей ИБВВ РАН, ИП – владельцы КСР</w:t>
            </w:r>
          </w:p>
        </w:tc>
      </w:tr>
    </w:tbl>
    <w:p w:rsidR="00765B58" w:rsidRDefault="00765B58" w:rsidP="00765B58">
      <w:pPr>
        <w:pStyle w:val="a3"/>
        <w:jc w:val="center"/>
      </w:pPr>
      <w:r>
        <w:rPr>
          <w:b/>
        </w:rPr>
        <w:t xml:space="preserve"> 13. Порядок взаимодействия ответственного исполнителя, соисполнителя, участников муниципальной программы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>Ответственным исполнителем</w:t>
      </w:r>
      <w:r>
        <w:t xml:space="preserve"> муниципальной программы является главный специалист по социальной политике и туризму.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</w:t>
      </w:r>
    </w:p>
    <w:p w:rsidR="00765B58" w:rsidRDefault="00765B58" w:rsidP="00765B58">
      <w:pPr>
        <w:jc w:val="both"/>
      </w:pPr>
      <w:r>
        <w:rPr>
          <w:b/>
        </w:rPr>
        <w:t xml:space="preserve">Соисполнителем </w:t>
      </w:r>
      <w:r>
        <w:t xml:space="preserve">муниципальной  программы на основе Соглашений  о передаче осуществления полномочий по решению вопросов местного значения является Комитет культуры молодежной политики физкультуры и спорта Администрации </w:t>
      </w:r>
      <w:proofErr w:type="spellStart"/>
      <w:r>
        <w:t>Некоузского</w:t>
      </w:r>
      <w:proofErr w:type="spellEnd"/>
      <w:r>
        <w:t xml:space="preserve"> муниципального района. </w:t>
      </w:r>
    </w:p>
    <w:p w:rsidR="00765B58" w:rsidRDefault="00765B58" w:rsidP="00765B58">
      <w:pPr>
        <w:pStyle w:val="a3"/>
        <w:jc w:val="both"/>
      </w:pPr>
      <w:r>
        <w:rPr>
          <w:b/>
        </w:rPr>
        <w:t xml:space="preserve">Участники программы - </w:t>
      </w:r>
      <w:r>
        <w:t xml:space="preserve"> субъекты туристской индустрии,  ИБВВ РАН участвуют в исполнении программы за счет собственных источников финансирования в рамках уставной деятельности.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rPr>
          <w:b/>
        </w:rPr>
        <w:t>Ответственный исполнитель</w:t>
      </w:r>
      <w:r>
        <w:t xml:space="preserve"> муниципальной  программы: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обеспечивает разработку муниципальной  программы, ее согласование с соисполнителем и внесение в установленном порядке проекта постановления Администрации Веретейского сельского поселения  об утверждении муниципальной  программы;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 - формирует в соответствии с методическими рекомендациями структуру муниципальной  программы; 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 определяет формы и методы управления реализацией  программой;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организует реализацию муниципальной  программы, вносит предложения об изменениях в муниципальную  программу и несет ответственность за достижение целевых показателей программы, а также конечных результатов ее реализации, рациональное использование выделяемых на ее выполнение финансовых средств;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представляет сведения (отчет)  с учетом информации, представленной соисполнителем  и участниками муниципальной  программы о реализации муниципальной  программы.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Соисполнитель муниципальной  программы: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осуществляет реализацию мероприятий муниципальной  программы в рамках своей компетенции и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вносит предложения ответственному исполнителю муниципальной  программы об изменениях в подпрограмме (мах) для согласования;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lastRenderedPageBreak/>
        <w:t>представляет ответственному исполнителю информацию, необходимую для подготовки отчетов о реализации муниципальной  программы по итогам года.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Участник муниципальной  программы: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осуществляет в рамках своей компетенции реализацию основного мероприятия подпрограммы, входящего в состав муниципальной  программы;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>- представляет ответственному исполнителю предложения при разработке муниципальной  программы в части основного мероприятия подпрограммы,  в реализации которых предполагается его участие;</w:t>
      </w:r>
    </w:p>
    <w:p w:rsidR="00765B58" w:rsidRDefault="00765B58" w:rsidP="00765B58">
      <w:pPr>
        <w:pStyle w:val="a3"/>
        <w:spacing w:before="0" w:beforeAutospacing="0" w:after="0" w:afterAutospacing="0" w:line="240" w:lineRule="atLeast"/>
        <w:jc w:val="both"/>
      </w:pPr>
      <w:r>
        <w:t xml:space="preserve">- 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 программы по итогам года. </w:t>
      </w: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765B58" w:rsidRDefault="00765B58" w:rsidP="00765B58">
      <w:pPr>
        <w:jc w:val="both"/>
      </w:pPr>
    </w:p>
    <w:p w:rsidR="002E16EF" w:rsidRDefault="002E16EF"/>
    <w:sectPr w:rsidR="002E16EF" w:rsidSect="000119A1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CF0C"/>
    <w:multiLevelType w:val="multilevel"/>
    <w:tmpl w:val="5864CF0C"/>
    <w:name w:val="Нумерованный список 2"/>
    <w:lvl w:ilvl="0">
      <w:start w:val="10"/>
      <w:numFmt w:val="decimal"/>
      <w:lvlText w:val="%1."/>
      <w:lvlJc w:val="left"/>
      <w:pPr>
        <w:tabs>
          <w:tab w:val="left" w:pos="360"/>
        </w:tabs>
      </w:pPr>
    </w:lvl>
    <w:lvl w:ilvl="1">
      <w:start w:val="1"/>
      <w:numFmt w:val="decimal"/>
      <w:lvlText w:val="%2."/>
      <w:lvlJc w:val="left"/>
      <w:pPr>
        <w:tabs>
          <w:tab w:val="left" w:pos="1080"/>
        </w:tabs>
      </w:pPr>
    </w:lvl>
    <w:lvl w:ilvl="2">
      <w:start w:val="1"/>
      <w:numFmt w:val="decimal"/>
      <w:lvlText w:val="%3."/>
      <w:lvlJc w:val="left"/>
      <w:pPr>
        <w:tabs>
          <w:tab w:val="left" w:pos="1800"/>
        </w:tabs>
      </w:pPr>
    </w:lvl>
    <w:lvl w:ilvl="3">
      <w:start w:val="1"/>
      <w:numFmt w:val="decimal"/>
      <w:lvlText w:val="%4."/>
      <w:lvlJc w:val="left"/>
      <w:pPr>
        <w:tabs>
          <w:tab w:val="left" w:pos="2520"/>
        </w:tabs>
      </w:pPr>
    </w:lvl>
    <w:lvl w:ilvl="4">
      <w:start w:val="1"/>
      <w:numFmt w:val="decimal"/>
      <w:lvlText w:val="%5."/>
      <w:lvlJc w:val="left"/>
      <w:pPr>
        <w:tabs>
          <w:tab w:val="left" w:pos="3240"/>
        </w:tabs>
      </w:pPr>
    </w:lvl>
    <w:lvl w:ilvl="5">
      <w:start w:val="1"/>
      <w:numFmt w:val="decimal"/>
      <w:lvlText w:val="%6."/>
      <w:lvlJc w:val="left"/>
      <w:pPr>
        <w:tabs>
          <w:tab w:val="left" w:pos="3960"/>
        </w:tabs>
      </w:pPr>
    </w:lvl>
    <w:lvl w:ilvl="6">
      <w:start w:val="1"/>
      <w:numFmt w:val="decimal"/>
      <w:lvlText w:val="%7."/>
      <w:lvlJc w:val="left"/>
      <w:pPr>
        <w:tabs>
          <w:tab w:val="left" w:pos="4680"/>
        </w:tabs>
      </w:pPr>
    </w:lvl>
    <w:lvl w:ilvl="7">
      <w:start w:val="1"/>
      <w:numFmt w:val="decimal"/>
      <w:lvlText w:val="%8."/>
      <w:lvlJc w:val="left"/>
      <w:pPr>
        <w:tabs>
          <w:tab w:val="left" w:pos="5400"/>
        </w:tabs>
      </w:pPr>
    </w:lvl>
    <w:lvl w:ilvl="8">
      <w:start w:val="1"/>
      <w:numFmt w:val="decimal"/>
      <w:lvlText w:val="%9."/>
      <w:lvlJc w:val="left"/>
      <w:pPr>
        <w:tabs>
          <w:tab w:val="left" w:pos="612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58"/>
    <w:rsid w:val="000119A1"/>
    <w:rsid w:val="002E16EF"/>
    <w:rsid w:val="007518FD"/>
    <w:rsid w:val="00765B58"/>
    <w:rsid w:val="00862B75"/>
    <w:rsid w:val="00C6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B58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765B58"/>
    <w:pPr>
      <w:spacing w:before="100" w:beforeAutospacing="1" w:after="100" w:afterAutospacing="1"/>
    </w:pPr>
  </w:style>
  <w:style w:type="paragraph" w:customStyle="1" w:styleId="ab">
    <w:name w:val="ab"/>
    <w:basedOn w:val="a"/>
    <w:rsid w:val="00765B58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765B58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765B58"/>
    <w:pPr>
      <w:spacing w:before="100" w:beforeAutospacing="1" w:after="100" w:afterAutospacing="1"/>
    </w:pPr>
  </w:style>
  <w:style w:type="paragraph" w:customStyle="1" w:styleId="p28">
    <w:name w:val="p28"/>
    <w:basedOn w:val="a"/>
    <w:rsid w:val="00765B58"/>
    <w:pPr>
      <w:spacing w:before="100" w:beforeAutospacing="1" w:after="100" w:afterAutospacing="1"/>
    </w:pPr>
  </w:style>
  <w:style w:type="paragraph" w:customStyle="1" w:styleId="p4">
    <w:name w:val="p4"/>
    <w:basedOn w:val="a"/>
    <w:rsid w:val="00765B58"/>
    <w:pPr>
      <w:spacing w:before="100" w:beforeAutospacing="1" w:after="100" w:afterAutospacing="1"/>
    </w:pPr>
  </w:style>
  <w:style w:type="table" w:styleId="a4">
    <w:name w:val="Table Grid"/>
    <w:basedOn w:val="a1"/>
    <w:rsid w:val="00765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65B5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4967</Words>
  <Characters>28313</Characters>
  <Application>Microsoft Office Word</Application>
  <DocSecurity>0</DocSecurity>
  <Lines>235</Lines>
  <Paragraphs>66</Paragraphs>
  <ScaleCrop>false</ScaleCrop>
  <Company>Microsoft</Company>
  <LinksUpToDate>false</LinksUpToDate>
  <CharactersWithSpaces>33214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2017-10-03T11:31:00Z</cp:lastPrinted>
  <dcterms:created xsi:type="dcterms:W3CDTF">2017-10-03T11:29:00Z</dcterms:created>
  <dcterms:modified xsi:type="dcterms:W3CDTF">2017-10-03T11:31:00Z</dcterms:modified>
</cp:coreProperties>
</file>